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47" w:rsidRPr="00D92F47" w:rsidRDefault="006E592F" w:rsidP="00D92F47">
      <w:pPr>
        <w:spacing w:after="0" w:line="240" w:lineRule="auto"/>
        <w:jc w:val="both"/>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30" type="#_x0000_t75" alt="MESECVI-LowRes" style="position:absolute;left:0;text-align:left;margin-left:324pt;margin-top:-27pt;width:126pt;height:85.4pt;z-index:-251654144;visibility:visible" wrapcoords="-120 0 -120 21423 21600 21423 21600 0 -120 0">
            <v:imagedata r:id="rId7" o:title=""/>
            <w10:wrap type="tight"/>
          </v:shape>
        </w:pict>
      </w:r>
      <w:r>
        <w:rPr>
          <w:rFonts w:ascii="Times New Roman" w:hAnsi="Times New Roman"/>
          <w:noProof/>
          <w:sz w:val="24"/>
          <w:szCs w:val="24"/>
        </w:rPr>
        <w:pict>
          <v:shape id="_x0000_s1031" type="#_x0000_t75" style="position:absolute;left:0;text-align:left;margin-left:0;margin-top:-36pt;width:82.05pt;height:99pt;z-index:251663360">
            <v:imagedata r:id="rId8" o:title="OAS_Seal_ENG_vertical_"/>
            <w10:wrap type="square"/>
          </v:shape>
        </w:pict>
      </w:r>
      <w:r w:rsidR="00D92F47" w:rsidRPr="00D92F47">
        <w:rPr>
          <w:rFonts w:ascii="Times New Roman" w:hAnsi="Times New Roman"/>
          <w:spacing w:val="-4"/>
          <w:sz w:val="24"/>
          <w:szCs w:val="24"/>
          <w:lang w:val="es-ES"/>
        </w:rPr>
        <w:tab/>
      </w:r>
      <w:r w:rsidR="00D92F47" w:rsidRPr="00D92F47">
        <w:rPr>
          <w:rFonts w:ascii="Times New Roman" w:hAnsi="Times New Roman"/>
          <w:sz w:val="24"/>
          <w:szCs w:val="24"/>
        </w:rPr>
        <w:tab/>
      </w:r>
      <w:r w:rsidR="00D92F47" w:rsidRPr="00D92F47">
        <w:rPr>
          <w:rFonts w:ascii="Times New Roman" w:hAnsi="Times New Roman"/>
          <w:sz w:val="24"/>
          <w:szCs w:val="24"/>
        </w:rPr>
        <w:tab/>
      </w:r>
      <w:r w:rsidR="00D92F47" w:rsidRPr="00D92F47">
        <w:rPr>
          <w:rFonts w:ascii="Times New Roman" w:hAnsi="Times New Roman"/>
          <w:sz w:val="24"/>
          <w:szCs w:val="24"/>
        </w:rPr>
        <w:tab/>
      </w:r>
      <w:r w:rsidR="00D92F47" w:rsidRPr="00D92F47">
        <w:rPr>
          <w:rFonts w:ascii="Times New Roman" w:hAnsi="Times New Roman"/>
          <w:sz w:val="24"/>
          <w:szCs w:val="24"/>
        </w:rPr>
        <w:tab/>
      </w:r>
      <w:r w:rsidR="00D92F47" w:rsidRPr="00D92F47">
        <w:rPr>
          <w:rFonts w:ascii="Times New Roman" w:hAnsi="Times New Roman"/>
          <w:sz w:val="24"/>
          <w:szCs w:val="24"/>
        </w:rPr>
        <w:tab/>
      </w:r>
    </w:p>
    <w:p w:rsidR="00D92F47" w:rsidRPr="00D92F47" w:rsidRDefault="00D92F47" w:rsidP="00D92F47">
      <w:pPr>
        <w:spacing w:after="0" w:line="240" w:lineRule="auto"/>
        <w:jc w:val="both"/>
        <w:rPr>
          <w:rFonts w:ascii="Times New Roman" w:hAnsi="Times New Roman"/>
          <w:sz w:val="24"/>
          <w:szCs w:val="24"/>
        </w:rPr>
      </w:pPr>
    </w:p>
    <w:p w:rsidR="00D92F47" w:rsidRPr="00D92F47" w:rsidRDefault="00D92F47" w:rsidP="00D92F47">
      <w:pPr>
        <w:tabs>
          <w:tab w:val="left" w:pos="5580"/>
          <w:tab w:val="left" w:pos="6480"/>
        </w:tabs>
        <w:spacing w:after="0" w:line="240" w:lineRule="auto"/>
        <w:jc w:val="both"/>
        <w:rPr>
          <w:rFonts w:ascii="Times New Roman" w:hAnsi="Times New Roman"/>
          <w:sz w:val="24"/>
          <w:szCs w:val="24"/>
          <w:lang w:val="es-UY"/>
        </w:rPr>
      </w:pPr>
    </w:p>
    <w:p w:rsidR="00D92F47" w:rsidRPr="00D92F47" w:rsidRDefault="00D92F47" w:rsidP="00D92F47">
      <w:pPr>
        <w:tabs>
          <w:tab w:val="left" w:pos="360"/>
          <w:tab w:val="left" w:pos="6480"/>
        </w:tabs>
        <w:spacing w:after="0" w:line="240" w:lineRule="auto"/>
        <w:jc w:val="both"/>
        <w:rPr>
          <w:rFonts w:ascii="Times New Roman" w:hAnsi="Times New Roman"/>
          <w:sz w:val="24"/>
          <w:szCs w:val="24"/>
          <w:lang w:val="es-UY"/>
        </w:rPr>
      </w:pPr>
    </w:p>
    <w:p w:rsidR="00D92F47" w:rsidRPr="00D92F47" w:rsidRDefault="00D92F47" w:rsidP="00D92F47">
      <w:pPr>
        <w:tabs>
          <w:tab w:val="left" w:pos="360"/>
          <w:tab w:val="left" w:pos="6480"/>
        </w:tabs>
        <w:spacing w:after="0" w:line="240" w:lineRule="auto"/>
        <w:jc w:val="both"/>
        <w:rPr>
          <w:rFonts w:ascii="Times New Roman" w:hAnsi="Times New Roman"/>
          <w:sz w:val="24"/>
          <w:szCs w:val="24"/>
          <w:lang w:val="es-UY"/>
        </w:rPr>
      </w:pPr>
    </w:p>
    <w:p w:rsidR="00D92F47" w:rsidRPr="00D92F47" w:rsidRDefault="00D92F47" w:rsidP="00D92F47">
      <w:pPr>
        <w:tabs>
          <w:tab w:val="left" w:pos="360"/>
          <w:tab w:val="left" w:pos="6480"/>
        </w:tabs>
        <w:spacing w:after="0" w:line="240" w:lineRule="auto"/>
        <w:jc w:val="both"/>
        <w:rPr>
          <w:rFonts w:ascii="Times New Roman" w:hAnsi="Times New Roman"/>
          <w:b/>
          <w:bCs/>
          <w:caps/>
          <w:color w:val="000000"/>
          <w:sz w:val="24"/>
          <w:szCs w:val="24"/>
        </w:rPr>
      </w:pPr>
    </w:p>
    <w:p w:rsidR="00D92F47" w:rsidRPr="00D92F47" w:rsidRDefault="00D92F47" w:rsidP="00D92F47">
      <w:pPr>
        <w:tabs>
          <w:tab w:val="left" w:pos="360"/>
          <w:tab w:val="left" w:pos="6480"/>
        </w:tabs>
        <w:spacing w:after="0" w:line="240" w:lineRule="auto"/>
        <w:jc w:val="both"/>
        <w:rPr>
          <w:rFonts w:ascii="Times New Roman" w:hAnsi="Times New Roman"/>
          <w:b/>
          <w:bCs/>
          <w:caps/>
          <w:color w:val="000000"/>
          <w:sz w:val="24"/>
          <w:szCs w:val="24"/>
        </w:rPr>
      </w:pPr>
    </w:p>
    <w:p w:rsidR="00D92F47" w:rsidRPr="00D92F47" w:rsidRDefault="00D92F47" w:rsidP="00D92F47">
      <w:pPr>
        <w:spacing w:after="0" w:line="240" w:lineRule="auto"/>
        <w:rPr>
          <w:rFonts w:ascii="Times New Roman" w:hAnsi="Times New Roman"/>
          <w:b/>
          <w:sz w:val="24"/>
          <w:szCs w:val="24"/>
        </w:rPr>
      </w:pPr>
      <w:r w:rsidRPr="00D92F47">
        <w:rPr>
          <w:rFonts w:ascii="Times New Roman" w:hAnsi="Times New Roman"/>
          <w:bCs/>
          <w:caps/>
          <w:sz w:val="24"/>
          <w:szCs w:val="24"/>
        </w:rPr>
        <w:t>Mechanism to Follow Up on the</w:t>
      </w:r>
      <w:r w:rsidRPr="00D92F47">
        <w:rPr>
          <w:rFonts w:ascii="Times New Roman" w:hAnsi="Times New Roman"/>
          <w:b/>
          <w:sz w:val="24"/>
          <w:szCs w:val="24"/>
        </w:rPr>
        <w:t xml:space="preserve"> </w:t>
      </w:r>
      <w:r w:rsidRPr="00D92F47">
        <w:rPr>
          <w:rFonts w:ascii="Times New Roman" w:hAnsi="Times New Roman"/>
          <w:b/>
          <w:sz w:val="24"/>
          <w:szCs w:val="24"/>
        </w:rPr>
        <w:tab/>
      </w:r>
      <w:r w:rsidRPr="00D92F47">
        <w:rPr>
          <w:rFonts w:ascii="Times New Roman" w:hAnsi="Times New Roman"/>
          <w:b/>
          <w:sz w:val="24"/>
          <w:szCs w:val="24"/>
        </w:rPr>
        <w:tab/>
      </w:r>
      <w:r w:rsidRPr="00D92F47">
        <w:rPr>
          <w:rFonts w:ascii="Times New Roman" w:hAnsi="Times New Roman"/>
          <w:b/>
          <w:sz w:val="24"/>
          <w:szCs w:val="24"/>
        </w:rPr>
        <w:tab/>
        <w:t xml:space="preserve">          </w:t>
      </w:r>
      <w:r>
        <w:rPr>
          <w:rFonts w:ascii="Times New Roman" w:hAnsi="Times New Roman"/>
          <w:b/>
          <w:sz w:val="24"/>
          <w:szCs w:val="24"/>
        </w:rPr>
        <w:t xml:space="preserve"> </w:t>
      </w:r>
      <w:r w:rsidRPr="00D92F47">
        <w:rPr>
          <w:rFonts w:ascii="Times New Roman" w:hAnsi="Times New Roman"/>
          <w:sz w:val="24"/>
          <w:szCs w:val="24"/>
        </w:rPr>
        <w:t>OEA/</w:t>
      </w:r>
      <w:proofErr w:type="spellStart"/>
      <w:r w:rsidRPr="00D92F47">
        <w:rPr>
          <w:rFonts w:ascii="Times New Roman" w:hAnsi="Times New Roman"/>
          <w:sz w:val="24"/>
          <w:szCs w:val="24"/>
        </w:rPr>
        <w:t>Ser.L</w:t>
      </w:r>
      <w:proofErr w:type="spellEnd"/>
      <w:r w:rsidRPr="00D92F47">
        <w:rPr>
          <w:rFonts w:ascii="Times New Roman" w:hAnsi="Times New Roman"/>
          <w:sz w:val="24"/>
          <w:szCs w:val="24"/>
        </w:rPr>
        <w:t>/ II.7.10</w:t>
      </w:r>
    </w:p>
    <w:p w:rsidR="00D92F47" w:rsidRPr="00D92F47" w:rsidRDefault="00D92F47" w:rsidP="00D92F47">
      <w:pPr>
        <w:spacing w:after="0" w:line="240" w:lineRule="auto"/>
        <w:rPr>
          <w:rFonts w:ascii="Times New Roman" w:hAnsi="Times New Roman"/>
          <w:bCs/>
          <w:caps/>
          <w:sz w:val="24"/>
          <w:szCs w:val="24"/>
          <w:lang w:val="pt-BR"/>
        </w:rPr>
      </w:pPr>
      <w:r w:rsidRPr="00D92F47">
        <w:rPr>
          <w:rFonts w:ascii="Times New Roman" w:hAnsi="Times New Roman"/>
          <w:bCs/>
          <w:caps/>
          <w:sz w:val="24"/>
          <w:szCs w:val="24"/>
          <w:lang w:val="pt-BR"/>
        </w:rPr>
        <w:t>Convention of Belém do Pará (MESECVI)</w:t>
      </w:r>
      <w:r w:rsidRPr="00D92F47">
        <w:rPr>
          <w:rFonts w:ascii="Times New Roman" w:hAnsi="Times New Roman"/>
          <w:sz w:val="24"/>
          <w:szCs w:val="24"/>
          <w:lang w:val="pt-BR"/>
        </w:rPr>
        <w:t xml:space="preserve"> </w:t>
      </w:r>
      <w:r>
        <w:rPr>
          <w:rFonts w:ascii="Times New Roman" w:hAnsi="Times New Roman"/>
          <w:sz w:val="24"/>
          <w:szCs w:val="24"/>
          <w:lang w:val="pt-BR"/>
        </w:rPr>
        <w:t xml:space="preserve">                   </w:t>
      </w:r>
      <w:r w:rsidRPr="00D92F47">
        <w:rPr>
          <w:rFonts w:ascii="Times New Roman" w:hAnsi="Times New Roman"/>
          <w:sz w:val="24"/>
          <w:szCs w:val="24"/>
          <w:lang w:val="pt-BR"/>
        </w:rPr>
        <w:t>MESECVI/I-CE/</w:t>
      </w:r>
      <w:proofErr w:type="spellStart"/>
      <w:proofErr w:type="gramStart"/>
      <w:r w:rsidRPr="00D92F47">
        <w:rPr>
          <w:rFonts w:ascii="Times New Roman" w:hAnsi="Times New Roman"/>
          <w:sz w:val="24"/>
          <w:szCs w:val="24"/>
          <w:lang w:val="pt-BR"/>
        </w:rPr>
        <w:t>doc</w:t>
      </w:r>
      <w:proofErr w:type="spellEnd"/>
      <w:r w:rsidRPr="00D92F47">
        <w:rPr>
          <w:rFonts w:ascii="Times New Roman" w:hAnsi="Times New Roman"/>
          <w:sz w:val="24"/>
          <w:szCs w:val="24"/>
          <w:lang w:val="pt-BR"/>
        </w:rPr>
        <w:t>.</w:t>
      </w:r>
      <w:proofErr w:type="gramEnd"/>
      <w:r w:rsidRPr="00D92F47">
        <w:rPr>
          <w:rFonts w:ascii="Times New Roman" w:hAnsi="Times New Roman"/>
          <w:sz w:val="24"/>
          <w:szCs w:val="24"/>
          <w:lang w:val="pt-BR"/>
        </w:rPr>
        <w:t>20/14</w:t>
      </w:r>
    </w:p>
    <w:p w:rsidR="00D92F47" w:rsidRPr="00D92F47" w:rsidRDefault="00D92F47" w:rsidP="00D92F47">
      <w:pPr>
        <w:spacing w:after="0" w:line="240" w:lineRule="auto"/>
        <w:rPr>
          <w:rFonts w:ascii="Times New Roman" w:hAnsi="Times New Roman"/>
          <w:b/>
          <w:sz w:val="24"/>
          <w:szCs w:val="24"/>
        </w:rPr>
      </w:pPr>
      <w:r w:rsidRPr="00D92F47">
        <w:rPr>
          <w:rFonts w:ascii="Times New Roman" w:hAnsi="Times New Roman"/>
          <w:b/>
          <w:sz w:val="24"/>
          <w:szCs w:val="24"/>
        </w:rPr>
        <w:t>FIRST SPECIAL CONFERENCE</w:t>
      </w:r>
      <w:r w:rsidRPr="00D92F47">
        <w:rPr>
          <w:rFonts w:ascii="Times New Roman" w:hAnsi="Times New Roman"/>
          <w:b/>
          <w:sz w:val="24"/>
          <w:szCs w:val="24"/>
        </w:rPr>
        <w:tab/>
      </w:r>
      <w:r w:rsidRPr="00D92F47">
        <w:rPr>
          <w:rFonts w:ascii="Times New Roman" w:hAnsi="Times New Roman"/>
          <w:b/>
          <w:sz w:val="24"/>
          <w:szCs w:val="24"/>
        </w:rPr>
        <w:tab/>
      </w:r>
      <w:r w:rsidRPr="00D92F47">
        <w:rPr>
          <w:rFonts w:ascii="Times New Roman" w:hAnsi="Times New Roman"/>
          <w:b/>
          <w:sz w:val="24"/>
          <w:szCs w:val="24"/>
        </w:rPr>
        <w:tab/>
      </w:r>
      <w:r w:rsidRPr="00D92F47">
        <w:rPr>
          <w:rFonts w:ascii="Times New Roman" w:hAnsi="Times New Roman"/>
          <w:b/>
          <w:sz w:val="24"/>
          <w:szCs w:val="24"/>
        </w:rPr>
        <w:tab/>
        <w:t xml:space="preserve">         </w:t>
      </w:r>
      <w:r>
        <w:rPr>
          <w:rFonts w:ascii="Times New Roman" w:hAnsi="Times New Roman"/>
          <w:b/>
          <w:sz w:val="24"/>
          <w:szCs w:val="24"/>
        </w:rPr>
        <w:t xml:space="preserve"> </w:t>
      </w:r>
      <w:r w:rsidRPr="00D92F47">
        <w:rPr>
          <w:rFonts w:ascii="Times New Roman" w:hAnsi="Times New Roman"/>
          <w:sz w:val="24"/>
          <w:szCs w:val="24"/>
        </w:rPr>
        <w:t>August 1</w:t>
      </w:r>
      <w:r w:rsidR="00D25606">
        <w:rPr>
          <w:rFonts w:ascii="Times New Roman" w:hAnsi="Times New Roman"/>
          <w:sz w:val="24"/>
          <w:szCs w:val="24"/>
        </w:rPr>
        <w:t>9</w:t>
      </w:r>
      <w:r w:rsidRPr="00D92F47">
        <w:rPr>
          <w:rFonts w:ascii="Times New Roman" w:hAnsi="Times New Roman"/>
          <w:sz w:val="24"/>
          <w:szCs w:val="24"/>
          <w:vertAlign w:val="superscript"/>
        </w:rPr>
        <w:t>TH</w:t>
      </w:r>
      <w:r w:rsidRPr="00D92F47">
        <w:rPr>
          <w:rFonts w:ascii="Times New Roman" w:hAnsi="Times New Roman"/>
          <w:sz w:val="24"/>
          <w:szCs w:val="24"/>
        </w:rPr>
        <w:t>, 2014</w:t>
      </w:r>
      <w:r w:rsidRPr="00D92F47">
        <w:rPr>
          <w:rFonts w:ascii="Times New Roman" w:hAnsi="Times New Roman"/>
          <w:b/>
          <w:sz w:val="24"/>
          <w:szCs w:val="24"/>
        </w:rPr>
        <w:tab/>
      </w:r>
    </w:p>
    <w:p w:rsidR="00D92F47" w:rsidRPr="00D92F47" w:rsidRDefault="00D92F47" w:rsidP="00D92F47">
      <w:pPr>
        <w:tabs>
          <w:tab w:val="left" w:pos="6300"/>
          <w:tab w:val="left" w:pos="7200"/>
        </w:tabs>
        <w:spacing w:after="0" w:line="240" w:lineRule="auto"/>
        <w:jc w:val="both"/>
        <w:rPr>
          <w:rFonts w:ascii="Times New Roman" w:hAnsi="Times New Roman"/>
          <w:sz w:val="24"/>
          <w:szCs w:val="24"/>
        </w:rPr>
      </w:pPr>
      <w:r w:rsidRPr="00D92F47">
        <w:rPr>
          <w:rFonts w:ascii="Times New Roman" w:hAnsi="Times New Roman"/>
          <w:b/>
          <w:sz w:val="24"/>
          <w:szCs w:val="24"/>
        </w:rPr>
        <w:t xml:space="preserve">OF THE STATES PARTY TO THE                                          </w:t>
      </w:r>
      <w:r w:rsidRPr="00D92F47">
        <w:rPr>
          <w:rFonts w:ascii="Times New Roman" w:hAnsi="Times New Roman"/>
          <w:b/>
          <w:sz w:val="24"/>
          <w:szCs w:val="24"/>
        </w:rPr>
        <w:tab/>
        <w:t xml:space="preserve"> </w:t>
      </w:r>
      <w:r w:rsidRPr="00D92F47">
        <w:rPr>
          <w:rFonts w:ascii="Times New Roman" w:hAnsi="Times New Roman"/>
          <w:sz w:val="24"/>
          <w:szCs w:val="24"/>
        </w:rPr>
        <w:t>Original: Spanish</w:t>
      </w:r>
    </w:p>
    <w:p w:rsidR="00D92F47" w:rsidRPr="00D92F47" w:rsidRDefault="00D92F47" w:rsidP="00D92F47">
      <w:pPr>
        <w:tabs>
          <w:tab w:val="left" w:pos="6480"/>
        </w:tabs>
        <w:spacing w:after="0" w:line="240" w:lineRule="auto"/>
        <w:rPr>
          <w:rFonts w:ascii="Times New Roman" w:hAnsi="Times New Roman"/>
          <w:sz w:val="24"/>
          <w:szCs w:val="24"/>
        </w:rPr>
      </w:pPr>
      <w:r w:rsidRPr="00D92F47">
        <w:rPr>
          <w:rFonts w:ascii="Times New Roman" w:hAnsi="Times New Roman"/>
          <w:b/>
          <w:bCs/>
          <w:caps/>
          <w:sz w:val="24"/>
          <w:szCs w:val="24"/>
        </w:rPr>
        <w:t>Convention of Belém do Pará</w:t>
      </w:r>
      <w:r w:rsidRPr="00D92F47">
        <w:rPr>
          <w:rFonts w:ascii="Times New Roman" w:hAnsi="Times New Roman"/>
          <w:sz w:val="24"/>
          <w:szCs w:val="24"/>
        </w:rPr>
        <w:t xml:space="preserve">                                  </w:t>
      </w:r>
      <w:r w:rsidRPr="00D92F47">
        <w:rPr>
          <w:rFonts w:ascii="Times New Roman" w:hAnsi="Times New Roman"/>
          <w:sz w:val="24"/>
          <w:szCs w:val="24"/>
        </w:rPr>
        <w:tab/>
      </w:r>
    </w:p>
    <w:p w:rsidR="00D92F47" w:rsidRPr="00D92F47" w:rsidRDefault="00D92F47" w:rsidP="00D92F47">
      <w:pPr>
        <w:tabs>
          <w:tab w:val="left" w:pos="6480"/>
          <w:tab w:val="left" w:pos="7200"/>
        </w:tabs>
        <w:spacing w:after="0" w:line="240" w:lineRule="auto"/>
        <w:jc w:val="both"/>
        <w:rPr>
          <w:rFonts w:ascii="Times New Roman" w:hAnsi="Times New Roman"/>
          <w:sz w:val="24"/>
          <w:szCs w:val="24"/>
        </w:rPr>
      </w:pPr>
      <w:r w:rsidRPr="00D92F47">
        <w:rPr>
          <w:rFonts w:ascii="Times New Roman" w:hAnsi="Times New Roman"/>
          <w:sz w:val="24"/>
          <w:szCs w:val="24"/>
        </w:rPr>
        <w:t>October 23</w:t>
      </w:r>
      <w:r w:rsidRPr="00D92F47">
        <w:rPr>
          <w:rFonts w:ascii="Times New Roman" w:hAnsi="Times New Roman"/>
          <w:sz w:val="24"/>
          <w:szCs w:val="24"/>
          <w:vertAlign w:val="superscript"/>
        </w:rPr>
        <w:t>rd</w:t>
      </w:r>
      <w:r w:rsidRPr="00D92F47">
        <w:rPr>
          <w:rFonts w:ascii="Times New Roman" w:hAnsi="Times New Roman"/>
          <w:sz w:val="24"/>
          <w:szCs w:val="24"/>
        </w:rPr>
        <w:t xml:space="preserve"> and 24</w:t>
      </w:r>
      <w:r w:rsidRPr="00D92F47">
        <w:rPr>
          <w:rFonts w:ascii="Times New Roman" w:hAnsi="Times New Roman"/>
          <w:sz w:val="24"/>
          <w:szCs w:val="24"/>
          <w:vertAlign w:val="superscript"/>
        </w:rPr>
        <w:t>th</w:t>
      </w:r>
      <w:r w:rsidRPr="00D92F47">
        <w:rPr>
          <w:rFonts w:ascii="Times New Roman" w:hAnsi="Times New Roman"/>
          <w:sz w:val="24"/>
          <w:szCs w:val="24"/>
        </w:rPr>
        <w:t>, 2014</w:t>
      </w:r>
      <w:r w:rsidRPr="00D92F47">
        <w:rPr>
          <w:rFonts w:ascii="Times New Roman" w:hAnsi="Times New Roman"/>
          <w:sz w:val="24"/>
          <w:szCs w:val="24"/>
        </w:rPr>
        <w:tab/>
        <w:t xml:space="preserve">   </w:t>
      </w:r>
    </w:p>
    <w:p w:rsidR="00DD73E4" w:rsidRPr="00D92F47" w:rsidRDefault="00D92F47" w:rsidP="00D92F47">
      <w:pPr>
        <w:spacing w:after="0" w:line="240" w:lineRule="auto"/>
        <w:jc w:val="both"/>
        <w:outlineLvl w:val="0"/>
        <w:rPr>
          <w:rFonts w:ascii="Times New Roman" w:hAnsi="Times New Roman"/>
          <w:bCs/>
          <w:sz w:val="24"/>
          <w:szCs w:val="24"/>
        </w:rPr>
      </w:pPr>
      <w:r w:rsidRPr="00D92F47">
        <w:rPr>
          <w:rFonts w:ascii="Times New Roman" w:hAnsi="Times New Roman"/>
          <w:bCs/>
          <w:sz w:val="24"/>
          <w:szCs w:val="24"/>
        </w:rPr>
        <w:t>Mexico City</w:t>
      </w:r>
    </w:p>
    <w:p w:rsidR="00DD73E4" w:rsidRPr="00D92F47" w:rsidRDefault="00DD73E4" w:rsidP="000A23F5">
      <w:pPr>
        <w:spacing w:line="240" w:lineRule="auto"/>
        <w:ind w:right="-720"/>
        <w:jc w:val="both"/>
        <w:outlineLvl w:val="0"/>
        <w:rPr>
          <w:rFonts w:ascii="Times New Roman" w:hAnsi="Times New Roman"/>
          <w:bCs/>
          <w:sz w:val="24"/>
          <w:szCs w:val="24"/>
        </w:rPr>
      </w:pPr>
    </w:p>
    <w:p w:rsidR="00DD73E4" w:rsidRPr="00D92F47" w:rsidRDefault="00DD73E4" w:rsidP="000A23F5">
      <w:pPr>
        <w:spacing w:line="240" w:lineRule="auto"/>
        <w:ind w:right="-720"/>
        <w:jc w:val="both"/>
        <w:outlineLvl w:val="0"/>
        <w:rPr>
          <w:rFonts w:ascii="Times New Roman" w:hAnsi="Times New Roman"/>
          <w:bCs/>
          <w:sz w:val="24"/>
          <w:szCs w:val="24"/>
        </w:rPr>
      </w:pPr>
    </w:p>
    <w:p w:rsidR="00DD73E4" w:rsidRPr="00D92F47" w:rsidRDefault="00DD73E4" w:rsidP="000A23F5">
      <w:pPr>
        <w:spacing w:line="240" w:lineRule="auto"/>
        <w:ind w:right="-720"/>
        <w:jc w:val="both"/>
        <w:outlineLvl w:val="0"/>
        <w:rPr>
          <w:rFonts w:ascii="Times New Roman" w:hAnsi="Times New Roman"/>
          <w:bCs/>
          <w:sz w:val="24"/>
          <w:szCs w:val="24"/>
        </w:rPr>
      </w:pPr>
    </w:p>
    <w:p w:rsidR="00DD73E4" w:rsidRPr="00D92F47" w:rsidRDefault="00DD73E4" w:rsidP="000A23F5">
      <w:pPr>
        <w:pStyle w:val="NormalWeb"/>
        <w:spacing w:before="0" w:beforeAutospacing="0" w:after="0" w:afterAutospacing="0"/>
        <w:jc w:val="both"/>
        <w:outlineLvl w:val="0"/>
        <w:rPr>
          <w:lang w:val="en-US"/>
        </w:rPr>
      </w:pPr>
    </w:p>
    <w:p w:rsidR="00DD73E4" w:rsidRPr="00D92F47" w:rsidRDefault="00DD73E4" w:rsidP="000A23F5">
      <w:pPr>
        <w:pStyle w:val="NormalWeb"/>
        <w:spacing w:before="0" w:beforeAutospacing="0" w:after="0" w:afterAutospacing="0"/>
        <w:jc w:val="both"/>
        <w:outlineLvl w:val="0"/>
        <w:rPr>
          <w:lang w:val="en-US"/>
        </w:rPr>
      </w:pPr>
    </w:p>
    <w:p w:rsidR="00DD73E4" w:rsidRPr="00D92F47" w:rsidRDefault="00DD73E4" w:rsidP="000A23F5">
      <w:pPr>
        <w:pStyle w:val="NormalWeb"/>
        <w:spacing w:before="0" w:beforeAutospacing="0" w:after="0" w:afterAutospacing="0"/>
        <w:ind w:left="360"/>
        <w:jc w:val="center"/>
        <w:outlineLvl w:val="0"/>
        <w:rPr>
          <w:b/>
          <w:lang w:val="en-US"/>
        </w:rPr>
      </w:pPr>
      <w:r w:rsidRPr="00D92F47">
        <w:rPr>
          <w:b/>
          <w:lang w:val="en-US"/>
        </w:rPr>
        <w:t>BARBADOS</w:t>
      </w:r>
    </w:p>
    <w:p w:rsidR="00DD73E4" w:rsidRPr="00D92F47" w:rsidRDefault="00DD73E4" w:rsidP="000A23F5">
      <w:pPr>
        <w:pStyle w:val="NormalWeb"/>
        <w:spacing w:before="0" w:beforeAutospacing="0" w:after="0" w:afterAutospacing="0"/>
        <w:ind w:left="360"/>
        <w:jc w:val="center"/>
        <w:outlineLvl w:val="0"/>
        <w:rPr>
          <w:b/>
          <w:lang w:val="en-US"/>
        </w:rPr>
      </w:pPr>
    </w:p>
    <w:p w:rsidR="00DD73E4" w:rsidRPr="00D92F47" w:rsidRDefault="00DD73E4" w:rsidP="000A23F5">
      <w:pPr>
        <w:spacing w:line="240" w:lineRule="auto"/>
        <w:jc w:val="center"/>
        <w:rPr>
          <w:rFonts w:ascii="Times New Roman" w:hAnsi="Times New Roman"/>
          <w:b/>
          <w:sz w:val="24"/>
          <w:szCs w:val="24"/>
        </w:rPr>
      </w:pPr>
      <w:r w:rsidRPr="00D92F47">
        <w:rPr>
          <w:rFonts w:ascii="Times New Roman" w:hAnsi="Times New Roman"/>
          <w:b/>
          <w:sz w:val="24"/>
          <w:szCs w:val="24"/>
        </w:rPr>
        <w:t>REPORT ON THE IMPLEMENTATION OF THE RECOMMENDATIONS OF THE COMMITTEE OF EXPERTS (CEVI)                                                                          SECOND ROUND</w:t>
      </w:r>
    </w:p>
    <w:p w:rsidR="00DD73E4" w:rsidRPr="00D92F47" w:rsidRDefault="00DD73E4" w:rsidP="000A23F5">
      <w:pPr>
        <w:spacing w:line="240" w:lineRule="auto"/>
        <w:jc w:val="center"/>
        <w:rPr>
          <w:rFonts w:ascii="Times New Roman" w:hAnsi="Times New Roman"/>
          <w:b/>
          <w:sz w:val="24"/>
          <w:szCs w:val="24"/>
        </w:rPr>
      </w:pPr>
    </w:p>
    <w:p w:rsidR="00DD73E4" w:rsidRPr="00D92F47" w:rsidRDefault="00DD73E4" w:rsidP="000A23F5">
      <w:pPr>
        <w:spacing w:line="240" w:lineRule="auto"/>
        <w:jc w:val="center"/>
        <w:rPr>
          <w:rFonts w:ascii="Times New Roman" w:hAnsi="Times New Roman"/>
          <w:b/>
          <w:sz w:val="24"/>
          <w:szCs w:val="24"/>
        </w:rPr>
      </w:pPr>
    </w:p>
    <w:p w:rsidR="00DD73E4" w:rsidRPr="00D92F47" w:rsidRDefault="00DD73E4" w:rsidP="000A23F5">
      <w:pPr>
        <w:spacing w:line="240" w:lineRule="auto"/>
        <w:jc w:val="center"/>
        <w:rPr>
          <w:rFonts w:ascii="Times New Roman" w:hAnsi="Times New Roman"/>
          <w:b/>
          <w:sz w:val="24"/>
          <w:szCs w:val="24"/>
        </w:rPr>
      </w:pPr>
    </w:p>
    <w:p w:rsidR="00DD73E4" w:rsidRPr="00D92F47" w:rsidRDefault="00DD73E4" w:rsidP="000A23F5">
      <w:pPr>
        <w:spacing w:line="240" w:lineRule="auto"/>
        <w:jc w:val="center"/>
        <w:rPr>
          <w:rFonts w:ascii="Times New Roman" w:hAnsi="Times New Roman"/>
          <w:b/>
          <w:sz w:val="24"/>
          <w:szCs w:val="24"/>
        </w:rPr>
      </w:pPr>
    </w:p>
    <w:p w:rsidR="00DD73E4" w:rsidRPr="00D92F47" w:rsidRDefault="00DD73E4" w:rsidP="000A23F5">
      <w:pPr>
        <w:spacing w:line="240" w:lineRule="auto"/>
        <w:jc w:val="center"/>
        <w:rPr>
          <w:rFonts w:ascii="Times New Roman" w:hAnsi="Times New Roman"/>
          <w:b/>
          <w:sz w:val="24"/>
          <w:szCs w:val="24"/>
        </w:rPr>
      </w:pPr>
    </w:p>
    <w:p w:rsidR="00DD73E4" w:rsidRPr="00D92F47" w:rsidRDefault="00DD73E4" w:rsidP="000A23F5">
      <w:pPr>
        <w:spacing w:line="240" w:lineRule="auto"/>
        <w:jc w:val="both"/>
        <w:rPr>
          <w:rFonts w:ascii="Times New Roman" w:hAnsi="Times New Roman"/>
          <w:sz w:val="24"/>
          <w:szCs w:val="24"/>
        </w:rPr>
      </w:pPr>
    </w:p>
    <w:p w:rsidR="00D92F47" w:rsidRPr="00D92F47" w:rsidRDefault="00D92F47" w:rsidP="000A23F5">
      <w:pPr>
        <w:spacing w:line="240" w:lineRule="auto"/>
        <w:jc w:val="both"/>
        <w:rPr>
          <w:rFonts w:ascii="Times New Roman" w:hAnsi="Times New Roman"/>
          <w:sz w:val="24"/>
          <w:szCs w:val="24"/>
        </w:rPr>
      </w:pPr>
    </w:p>
    <w:p w:rsidR="00D92F47" w:rsidRPr="00D92F47" w:rsidRDefault="00D92F47" w:rsidP="000A23F5">
      <w:pPr>
        <w:spacing w:line="240" w:lineRule="auto"/>
        <w:jc w:val="both"/>
        <w:rPr>
          <w:rFonts w:ascii="Times New Roman" w:hAnsi="Times New Roman"/>
          <w:b/>
          <w:bCs/>
          <w:sz w:val="24"/>
          <w:szCs w:val="24"/>
        </w:rPr>
      </w:pPr>
    </w:p>
    <w:p w:rsidR="005A0A29" w:rsidRDefault="005A0A29" w:rsidP="000A23F5">
      <w:pPr>
        <w:spacing w:line="240" w:lineRule="auto"/>
        <w:jc w:val="both"/>
        <w:rPr>
          <w:rFonts w:ascii="Times New Roman" w:hAnsi="Times New Roman"/>
          <w:b/>
          <w:bCs/>
          <w:sz w:val="24"/>
          <w:szCs w:val="24"/>
        </w:rPr>
      </w:pPr>
    </w:p>
    <w:p w:rsidR="005A0A29" w:rsidRPr="00D92F47" w:rsidRDefault="005A0A29" w:rsidP="000A23F5">
      <w:pPr>
        <w:spacing w:line="240" w:lineRule="auto"/>
        <w:jc w:val="both"/>
        <w:rPr>
          <w:rFonts w:ascii="Times New Roman" w:hAnsi="Times New Roman"/>
          <w:b/>
          <w:bCs/>
          <w:sz w:val="24"/>
          <w:szCs w:val="24"/>
        </w:rPr>
      </w:pPr>
    </w:p>
    <w:p w:rsidR="00DD73E4" w:rsidRPr="00D92F47" w:rsidRDefault="00DD73E4" w:rsidP="00601E33">
      <w:pPr>
        <w:spacing w:after="0" w:line="240" w:lineRule="auto"/>
        <w:jc w:val="both"/>
        <w:rPr>
          <w:rFonts w:ascii="Times New Roman" w:hAnsi="Times New Roman"/>
          <w:b/>
          <w:sz w:val="24"/>
          <w:szCs w:val="24"/>
        </w:rPr>
      </w:pPr>
    </w:p>
    <w:p w:rsidR="00DD73E4" w:rsidRPr="00D92F47" w:rsidRDefault="00DD73E4" w:rsidP="00601E33">
      <w:pPr>
        <w:numPr>
          <w:ilvl w:val="0"/>
          <w:numId w:val="28"/>
        </w:numPr>
        <w:spacing w:after="0" w:line="240" w:lineRule="auto"/>
        <w:ind w:firstLine="0"/>
        <w:jc w:val="both"/>
        <w:rPr>
          <w:rFonts w:ascii="Times New Roman" w:hAnsi="Times New Roman"/>
          <w:b/>
          <w:bCs/>
          <w:sz w:val="24"/>
          <w:szCs w:val="24"/>
        </w:rPr>
      </w:pPr>
      <w:r w:rsidRPr="00D92F47">
        <w:rPr>
          <w:rFonts w:ascii="Times New Roman" w:hAnsi="Times New Roman"/>
          <w:b/>
          <w:bCs/>
          <w:sz w:val="24"/>
          <w:szCs w:val="24"/>
        </w:rPr>
        <w:t>Introduction</w:t>
      </w:r>
    </w:p>
    <w:p w:rsidR="00DD73E4" w:rsidRPr="00D92F47" w:rsidRDefault="00DD73E4" w:rsidP="000A23F5">
      <w:pPr>
        <w:spacing w:after="0" w:line="240" w:lineRule="auto"/>
        <w:ind w:left="720"/>
        <w:jc w:val="both"/>
        <w:rPr>
          <w:rFonts w:ascii="Times New Roman" w:hAnsi="Times New Roman"/>
          <w:b/>
          <w:bCs/>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This evaluation report on progress made by the State party to meet obligations under the Belem do Para Convention in accordance with recommendations made to Barbados in the Final Report</w:t>
      </w:r>
      <w:r w:rsidRPr="00D92F47">
        <w:rPr>
          <w:rStyle w:val="FootnoteReference"/>
          <w:rFonts w:ascii="Times New Roman" w:hAnsi="Times New Roman"/>
          <w:sz w:val="24"/>
          <w:szCs w:val="24"/>
        </w:rPr>
        <w:footnoteReference w:id="2"/>
      </w:r>
      <w:r w:rsidRPr="00D92F47">
        <w:rPr>
          <w:rFonts w:ascii="Times New Roman" w:hAnsi="Times New Roman"/>
          <w:sz w:val="24"/>
          <w:szCs w:val="24"/>
        </w:rPr>
        <w:t xml:space="preserve"> of the second multilateral evaluation round as well as progress indicators for measuring implementation of the Convention adopted by the Committee of experts on 21</w:t>
      </w:r>
      <w:r w:rsidRPr="00D92F47">
        <w:rPr>
          <w:rFonts w:ascii="Times New Roman" w:hAnsi="Times New Roman"/>
          <w:sz w:val="24"/>
          <w:szCs w:val="24"/>
          <w:vertAlign w:val="superscript"/>
        </w:rPr>
        <w:t>st</w:t>
      </w:r>
      <w:r w:rsidRPr="00D92F47">
        <w:rPr>
          <w:rFonts w:ascii="Times New Roman" w:hAnsi="Times New Roman"/>
          <w:sz w:val="24"/>
          <w:szCs w:val="24"/>
        </w:rPr>
        <w:t xml:space="preserve"> May, 2013. Recommendations and indicators to be assessed in this present evaluation relate to the indicator framework and address obligations related to: legislation, national plans, access to justice, information and statistics and diversity. </w:t>
      </w:r>
    </w:p>
    <w:p w:rsidR="00DD73E4" w:rsidRPr="00D92F47" w:rsidRDefault="00DD73E4" w:rsidP="00601E3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information received from the State party was submitted in two documents:</w:t>
      </w:r>
    </w:p>
    <w:p w:rsidR="00DD73E4" w:rsidRPr="00D92F47" w:rsidRDefault="00DD73E4" w:rsidP="00601E33">
      <w:pPr>
        <w:spacing w:after="0" w:line="240" w:lineRule="auto"/>
        <w:jc w:val="both"/>
        <w:rPr>
          <w:rFonts w:ascii="Times New Roman" w:hAnsi="Times New Roman"/>
          <w:sz w:val="24"/>
          <w:szCs w:val="24"/>
        </w:rPr>
      </w:pPr>
    </w:p>
    <w:p w:rsidR="00DD73E4" w:rsidRPr="00D92F47" w:rsidRDefault="00DD73E4" w:rsidP="00601E33">
      <w:pPr>
        <w:pStyle w:val="ListParagraph"/>
        <w:numPr>
          <w:ilvl w:val="0"/>
          <w:numId w:val="3"/>
        </w:numPr>
        <w:spacing w:after="0" w:line="240" w:lineRule="auto"/>
        <w:jc w:val="both"/>
        <w:rPr>
          <w:rFonts w:ascii="Times New Roman" w:hAnsi="Times New Roman"/>
          <w:sz w:val="24"/>
          <w:szCs w:val="24"/>
        </w:rPr>
      </w:pPr>
      <w:r w:rsidRPr="00D92F47">
        <w:rPr>
          <w:rFonts w:ascii="Times New Roman" w:hAnsi="Times New Roman"/>
          <w:sz w:val="24"/>
          <w:szCs w:val="24"/>
        </w:rPr>
        <w:t>A narrative prepared in response the CEVI Committee questionnaire; and</w:t>
      </w:r>
    </w:p>
    <w:p w:rsidR="00DD73E4" w:rsidRPr="00D92F47" w:rsidRDefault="00DD73E4" w:rsidP="00601E33">
      <w:pPr>
        <w:pStyle w:val="ListParagraph"/>
        <w:numPr>
          <w:ilvl w:val="0"/>
          <w:numId w:val="3"/>
        </w:numPr>
        <w:spacing w:after="0" w:line="240" w:lineRule="auto"/>
        <w:jc w:val="both"/>
        <w:rPr>
          <w:rFonts w:ascii="Times New Roman" w:hAnsi="Times New Roman"/>
          <w:sz w:val="24"/>
          <w:szCs w:val="24"/>
        </w:rPr>
      </w:pPr>
      <w:r w:rsidRPr="00D92F47">
        <w:rPr>
          <w:rFonts w:ascii="Times New Roman" w:hAnsi="Times New Roman"/>
          <w:sz w:val="24"/>
          <w:szCs w:val="24"/>
        </w:rPr>
        <w:t>A Matrix prepared in response to the indicator matrix.</w:t>
      </w:r>
    </w:p>
    <w:p w:rsidR="00DD73E4" w:rsidRPr="00D92F47" w:rsidRDefault="00DD73E4" w:rsidP="00601E3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In both instances it was extremely difficult to determine correspondence with the recommendations that had been provided based in the previous report as well as in relation to actions taken since April 2012. The following has been gleaned from the submissions.  </w:t>
      </w:r>
    </w:p>
    <w:p w:rsidR="00DD73E4" w:rsidRPr="00D92F47" w:rsidRDefault="00DD73E4" w:rsidP="00601E33">
      <w:pPr>
        <w:spacing w:after="0" w:line="240" w:lineRule="auto"/>
        <w:jc w:val="both"/>
        <w:rPr>
          <w:rFonts w:ascii="Times New Roman" w:hAnsi="Times New Roman"/>
          <w:sz w:val="24"/>
          <w:szCs w:val="24"/>
        </w:rPr>
      </w:pPr>
    </w:p>
    <w:p w:rsidR="00DD73E4" w:rsidRPr="00D92F47" w:rsidRDefault="00DD73E4" w:rsidP="00601E33">
      <w:pPr>
        <w:spacing w:line="240" w:lineRule="auto"/>
        <w:ind w:left="720"/>
        <w:jc w:val="both"/>
        <w:rPr>
          <w:rFonts w:ascii="Times New Roman" w:hAnsi="Times New Roman"/>
          <w:sz w:val="24"/>
          <w:szCs w:val="24"/>
        </w:rPr>
      </w:pPr>
      <w:r w:rsidRPr="00D92F47">
        <w:rPr>
          <w:rFonts w:ascii="Times New Roman" w:hAnsi="Times New Roman"/>
          <w:b/>
          <w:bCs/>
          <w:sz w:val="24"/>
          <w:szCs w:val="24"/>
        </w:rPr>
        <w:t>II.</w:t>
      </w:r>
      <w:r w:rsidRPr="00D92F47">
        <w:rPr>
          <w:rFonts w:ascii="Times New Roman" w:hAnsi="Times New Roman"/>
          <w:b/>
          <w:bCs/>
          <w:sz w:val="24"/>
          <w:szCs w:val="24"/>
        </w:rPr>
        <w:tab/>
        <w:t>PROGRESS ON THE RECOMMENDATIONS</w:t>
      </w:r>
    </w:p>
    <w:p w:rsidR="00DD73E4" w:rsidRPr="00D92F47" w:rsidRDefault="00DD73E4" w:rsidP="00601E33">
      <w:pPr>
        <w:widowControl w:val="0"/>
        <w:numPr>
          <w:ilvl w:val="0"/>
          <w:numId w:val="30"/>
        </w:numPr>
        <w:suppressAutoHyphens/>
        <w:autoSpaceDE w:val="0"/>
        <w:spacing w:line="240" w:lineRule="auto"/>
        <w:jc w:val="both"/>
        <w:rPr>
          <w:rFonts w:ascii="Times New Roman" w:hAnsi="Times New Roman"/>
          <w:b/>
          <w:bCs/>
          <w:color w:val="000000"/>
          <w:sz w:val="24"/>
          <w:szCs w:val="24"/>
        </w:rPr>
      </w:pPr>
      <w:r w:rsidRPr="00D92F47">
        <w:rPr>
          <w:rFonts w:ascii="Times New Roman" w:hAnsi="Times New Roman"/>
          <w:b/>
          <w:sz w:val="24"/>
          <w:szCs w:val="24"/>
        </w:rPr>
        <w:t xml:space="preserve">LEGISLATION </w:t>
      </w:r>
      <w:r w:rsidRPr="00D92F47">
        <w:rPr>
          <w:rFonts w:ascii="Times New Roman" w:hAnsi="Times New Roman"/>
          <w:b/>
          <w:bCs/>
          <w:color w:val="000000"/>
          <w:sz w:val="24"/>
          <w:szCs w:val="24"/>
        </w:rPr>
        <w:t xml:space="preserve">– Articles 1, 2, 3 and 7, subparagraphs </w:t>
      </w:r>
      <w:proofErr w:type="spellStart"/>
      <w:r w:rsidRPr="00D92F47">
        <w:rPr>
          <w:rFonts w:ascii="Times New Roman" w:hAnsi="Times New Roman"/>
          <w:b/>
          <w:bCs/>
          <w:color w:val="000000"/>
          <w:sz w:val="24"/>
          <w:szCs w:val="24"/>
        </w:rPr>
        <w:t>c</w:t>
      </w:r>
      <w:proofErr w:type="spellEnd"/>
      <w:r w:rsidRPr="00D92F47">
        <w:rPr>
          <w:rFonts w:ascii="Times New Roman" w:hAnsi="Times New Roman"/>
          <w:b/>
          <w:bCs/>
          <w:color w:val="000000"/>
          <w:sz w:val="24"/>
          <w:szCs w:val="24"/>
        </w:rPr>
        <w:t xml:space="preserve">), e), and g), of the </w:t>
      </w:r>
      <w:proofErr w:type="spellStart"/>
      <w:r w:rsidRPr="00D92F47">
        <w:rPr>
          <w:rFonts w:ascii="Times New Roman" w:hAnsi="Times New Roman"/>
          <w:b/>
          <w:bCs/>
          <w:color w:val="000000"/>
          <w:sz w:val="24"/>
          <w:szCs w:val="24"/>
        </w:rPr>
        <w:t>Belém</w:t>
      </w:r>
      <w:proofErr w:type="spellEnd"/>
      <w:r w:rsidRPr="00D92F47">
        <w:rPr>
          <w:rFonts w:ascii="Times New Roman" w:hAnsi="Times New Roman"/>
          <w:b/>
          <w:bCs/>
          <w:color w:val="000000"/>
          <w:sz w:val="24"/>
          <w:szCs w:val="24"/>
        </w:rPr>
        <w:t xml:space="preserve"> do </w:t>
      </w:r>
      <w:proofErr w:type="spellStart"/>
      <w:r w:rsidRPr="00D92F47">
        <w:rPr>
          <w:rFonts w:ascii="Times New Roman" w:hAnsi="Times New Roman"/>
          <w:b/>
          <w:bCs/>
          <w:color w:val="000000"/>
          <w:sz w:val="24"/>
          <w:szCs w:val="24"/>
        </w:rPr>
        <w:t>Pará</w:t>
      </w:r>
      <w:proofErr w:type="spellEnd"/>
      <w:r w:rsidRPr="00D92F47">
        <w:rPr>
          <w:rFonts w:ascii="Times New Roman" w:hAnsi="Times New Roman"/>
          <w:b/>
          <w:bCs/>
          <w:color w:val="000000"/>
          <w:sz w:val="24"/>
          <w:szCs w:val="24"/>
        </w:rPr>
        <w:t xml:space="preserve"> Convention</w:t>
      </w: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Reception to the right or acceptance of the right is reflected in way in which rights protected under the Convention are built into the domestic legal system and public policies of the State party. The previous report shows that although there was some progress in this regard, several gaps persisted. All recommendations made in the previous Report therefore pointed to actions that should be taken to close the gaps and related specifically to:</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Evaluate current legislation that address issues of violence and discrimination to ensure that full rights and protection are granted to women;</w:t>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Include a comprehensive definition of violence against women in legislation addressing VAW;</w:t>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Draft and enact a comprehensive anti-trafficking law and mechanisms for its enforcement;</w:t>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Introduce a Sexual Harassment Bill;</w:t>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lastRenderedPageBreak/>
        <w:t>Develop legislation to address rape and sexual violence within marriage (marital rape) and common-law unions;</w:t>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Ensure that the full range of sexual and reproductive rights of women and adolescent girls are addressed through appropriate legislative or other protective measures.</w:t>
      </w:r>
      <w:r w:rsidRPr="00D92F47">
        <w:rPr>
          <w:rFonts w:ascii="Times New Roman" w:hAnsi="Times New Roman"/>
          <w:sz w:val="24"/>
          <w:szCs w:val="24"/>
        </w:rPr>
        <w:tab/>
      </w:r>
    </w:p>
    <w:p w:rsidR="00DD73E4" w:rsidRPr="00D92F47" w:rsidRDefault="00DD73E4" w:rsidP="00D607C3">
      <w:pPr>
        <w:pStyle w:val="ListParagraph"/>
        <w:numPr>
          <w:ilvl w:val="0"/>
          <w:numId w:val="13"/>
        </w:numPr>
        <w:spacing w:after="0" w:line="240" w:lineRule="auto"/>
        <w:jc w:val="both"/>
        <w:rPr>
          <w:rFonts w:ascii="Times New Roman" w:hAnsi="Times New Roman"/>
          <w:sz w:val="24"/>
          <w:szCs w:val="24"/>
        </w:rPr>
      </w:pPr>
      <w:r w:rsidRPr="00D92F47">
        <w:rPr>
          <w:rFonts w:ascii="Times New Roman" w:hAnsi="Times New Roman"/>
          <w:sz w:val="24"/>
          <w:szCs w:val="24"/>
        </w:rPr>
        <w:t xml:space="preserve">Develop and implement a public awareness campaign to raise the visibility of the Convention in the State Party.  </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information provided in the two documents submitted by the State party indicate that the follow-up to these recommendations was minimal and there is no clear indications that actions taken were, in fact, after April 2012. The following was determined: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 xml:space="preserve">No comprehensive legislative review to ensure that rights under the Convention are enshrined in the domestic legislation and, in this regard, to identify gaps; </w:t>
      </w: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 xml:space="preserve">The information provided indicates that there is no comprehensive definition of VAW in their legislation but that the Domestic Violence Act includes a definition under sexual harassment. In fact, information from </w:t>
      </w:r>
      <w:proofErr w:type="spellStart"/>
      <w:r w:rsidRPr="00D92F47">
        <w:rPr>
          <w:rFonts w:ascii="Times New Roman" w:hAnsi="Times New Roman"/>
          <w:sz w:val="24"/>
          <w:szCs w:val="24"/>
        </w:rPr>
        <w:t>refworld</w:t>
      </w:r>
      <w:proofErr w:type="spellEnd"/>
      <w:r w:rsidRPr="00D92F47">
        <w:rPr>
          <w:rStyle w:val="FootnoteReference"/>
          <w:rFonts w:ascii="Times New Roman" w:hAnsi="Times New Roman"/>
          <w:sz w:val="24"/>
          <w:szCs w:val="24"/>
        </w:rPr>
        <w:footnoteReference w:id="3"/>
      </w:r>
      <w:r w:rsidRPr="00D92F47">
        <w:rPr>
          <w:rFonts w:ascii="Times New Roman" w:hAnsi="Times New Roman"/>
          <w:sz w:val="24"/>
          <w:szCs w:val="24"/>
        </w:rPr>
        <w:t xml:space="preserve"> indicates that:</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sz w:val="24"/>
          <w:szCs w:val="24"/>
        </w:rPr>
        <w:tab/>
      </w:r>
      <w:r w:rsidRPr="00D92F47">
        <w:rPr>
          <w:rFonts w:ascii="Times New Roman" w:hAnsi="Times New Roman"/>
          <w:i/>
          <w:sz w:val="24"/>
          <w:szCs w:val="24"/>
        </w:rPr>
        <w:t xml:space="preserve">In 11 October 2012 correspondence with the Research Directorate, the Chairperson </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ab/>
      </w:r>
      <w:proofErr w:type="gramStart"/>
      <w:r w:rsidRPr="00D92F47">
        <w:rPr>
          <w:rFonts w:ascii="Times New Roman" w:hAnsi="Times New Roman"/>
          <w:i/>
          <w:sz w:val="24"/>
          <w:szCs w:val="24"/>
        </w:rPr>
        <w:t>of</w:t>
      </w:r>
      <w:proofErr w:type="gramEnd"/>
      <w:r w:rsidRPr="00D92F47">
        <w:rPr>
          <w:rFonts w:ascii="Times New Roman" w:hAnsi="Times New Roman"/>
          <w:i/>
          <w:sz w:val="24"/>
          <w:szCs w:val="24"/>
        </w:rPr>
        <w:t xml:space="preserve"> the </w:t>
      </w:r>
      <w:r w:rsidRPr="00D92F47">
        <w:rPr>
          <w:rFonts w:ascii="Times New Roman" w:hAnsi="Times New Roman"/>
          <w:i/>
          <w:sz w:val="24"/>
          <w:szCs w:val="24"/>
        </w:rPr>
        <w:tab/>
        <w:t xml:space="preserve">SAVE Foundation stated that the Domestic Violence (Protection Orders) Act </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ab/>
      </w:r>
      <w:proofErr w:type="gramStart"/>
      <w:r w:rsidRPr="00D92F47">
        <w:rPr>
          <w:rFonts w:ascii="Times New Roman" w:hAnsi="Times New Roman"/>
          <w:i/>
          <w:sz w:val="24"/>
          <w:szCs w:val="24"/>
        </w:rPr>
        <w:t>is</w:t>
      </w:r>
      <w:proofErr w:type="gramEnd"/>
      <w:r w:rsidRPr="00D92F47">
        <w:rPr>
          <w:rFonts w:ascii="Times New Roman" w:hAnsi="Times New Roman"/>
          <w:i/>
          <w:sz w:val="24"/>
          <w:szCs w:val="24"/>
        </w:rPr>
        <w:t xml:space="preserve"> the current legislation in effect and that it has not been updated since 1992 (SAVE 11 </w:t>
      </w:r>
      <w:r w:rsidRPr="00D92F47">
        <w:rPr>
          <w:rFonts w:ascii="Times New Roman" w:hAnsi="Times New Roman"/>
          <w:i/>
          <w:sz w:val="24"/>
          <w:szCs w:val="24"/>
        </w:rPr>
        <w:tab/>
        <w:t xml:space="preserve">Oct. 2012). According to the CADRES report, the Domestic Violence (Protection </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ab/>
        <w:t xml:space="preserve">Orders) Act does not define domestic violence as a crime and it is only a chargeable </w:t>
      </w:r>
      <w:r w:rsidRPr="00D92F47">
        <w:rPr>
          <w:rFonts w:ascii="Times New Roman" w:hAnsi="Times New Roman"/>
          <w:i/>
          <w:sz w:val="24"/>
          <w:szCs w:val="24"/>
        </w:rPr>
        <w:tab/>
        <w:t>offence if the perpetrator violates a protection order (CADRES [2009], 29)</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This constitutes a serious gap in the legislation and the protection of women’s right to </w:t>
      </w:r>
      <w:r w:rsidRPr="00D92F47">
        <w:rPr>
          <w:rFonts w:ascii="Times New Roman" w:hAnsi="Times New Roman"/>
          <w:sz w:val="24"/>
          <w:szCs w:val="24"/>
        </w:rPr>
        <w:tab/>
        <w:t xml:space="preserve">live a live free of violence and certainly encourages perpetrators to act with impunity </w:t>
      </w:r>
      <w:r w:rsidRPr="00D92F47">
        <w:rPr>
          <w:rFonts w:ascii="Times New Roman" w:hAnsi="Times New Roman"/>
          <w:sz w:val="24"/>
          <w:szCs w:val="24"/>
        </w:rPr>
        <w:tab/>
        <w:t xml:space="preserve">because of the lack of criminalization of such acts. The treatment of violence against </w:t>
      </w:r>
      <w:r w:rsidRPr="00D92F47">
        <w:rPr>
          <w:rFonts w:ascii="Times New Roman" w:hAnsi="Times New Roman"/>
          <w:sz w:val="24"/>
          <w:szCs w:val="24"/>
        </w:rPr>
        <w:tab/>
        <w:t xml:space="preserve">women in the legislation should be should addressed without delay and comprehensive </w:t>
      </w:r>
      <w:r w:rsidRPr="00D92F47">
        <w:rPr>
          <w:rFonts w:ascii="Times New Roman" w:hAnsi="Times New Roman"/>
          <w:sz w:val="24"/>
          <w:szCs w:val="24"/>
        </w:rPr>
        <w:tab/>
        <w:t xml:space="preserve">legislation covering all forms of violence against women should be addressed without </w:t>
      </w:r>
      <w:r w:rsidRPr="00D92F47">
        <w:rPr>
          <w:rFonts w:ascii="Times New Roman" w:hAnsi="Times New Roman"/>
          <w:sz w:val="24"/>
          <w:szCs w:val="24"/>
        </w:rPr>
        <w:tab/>
        <w:t xml:space="preserve">delay. This is of particular importance in situations where intimate partner violence is </w:t>
      </w:r>
      <w:r w:rsidRPr="00D92F47">
        <w:rPr>
          <w:rFonts w:ascii="Times New Roman" w:hAnsi="Times New Roman"/>
          <w:sz w:val="24"/>
          <w:szCs w:val="24"/>
        </w:rPr>
        <w:tab/>
        <w:t>pervasive. In March 2013, the Permanent Representative of Barbados to the UN</w:t>
      </w:r>
      <w:r w:rsidRPr="00D92F47">
        <w:rPr>
          <w:rStyle w:val="FootnoteReference"/>
          <w:rFonts w:ascii="Times New Roman" w:hAnsi="Times New Roman"/>
          <w:sz w:val="24"/>
          <w:szCs w:val="24"/>
        </w:rPr>
        <w:footnoteReference w:id="4"/>
      </w:r>
      <w:r w:rsidRPr="00D92F47">
        <w:rPr>
          <w:rFonts w:ascii="Times New Roman" w:hAnsi="Times New Roman"/>
          <w:sz w:val="24"/>
          <w:szCs w:val="24"/>
        </w:rPr>
        <w:t xml:space="preserve"> </w:t>
      </w:r>
      <w:r w:rsidRPr="00D92F47">
        <w:rPr>
          <w:rFonts w:ascii="Times New Roman" w:hAnsi="Times New Roman"/>
          <w:sz w:val="24"/>
          <w:szCs w:val="24"/>
        </w:rPr>
        <w:tab/>
        <w:t xml:space="preserve">in a </w:t>
      </w:r>
      <w:r w:rsidRPr="00D92F47">
        <w:rPr>
          <w:rFonts w:ascii="Times New Roman" w:hAnsi="Times New Roman"/>
          <w:sz w:val="24"/>
          <w:szCs w:val="24"/>
        </w:rPr>
        <w:tab/>
        <w:t>Statement made at the 57</w:t>
      </w:r>
      <w:r w:rsidRPr="00D92F47">
        <w:rPr>
          <w:rFonts w:ascii="Times New Roman" w:hAnsi="Times New Roman"/>
          <w:sz w:val="24"/>
          <w:szCs w:val="24"/>
          <w:vertAlign w:val="superscript"/>
        </w:rPr>
        <w:t>th</w:t>
      </w:r>
      <w:r w:rsidRPr="00D92F47">
        <w:rPr>
          <w:rFonts w:ascii="Times New Roman" w:hAnsi="Times New Roman"/>
          <w:sz w:val="24"/>
          <w:szCs w:val="24"/>
        </w:rPr>
        <w:t xml:space="preserve"> Session of the Commission on the Status of Women </w:t>
      </w:r>
      <w:r w:rsidRPr="00D92F47">
        <w:rPr>
          <w:rFonts w:ascii="Times New Roman" w:hAnsi="Times New Roman"/>
          <w:sz w:val="24"/>
          <w:szCs w:val="24"/>
        </w:rPr>
        <w:tab/>
        <w:t xml:space="preserve">acknowledged that: </w:t>
      </w:r>
      <w:r w:rsidRPr="00D92F47">
        <w:rPr>
          <w:rFonts w:ascii="Times New Roman" w:hAnsi="Times New Roman"/>
          <w:i/>
          <w:sz w:val="24"/>
          <w:szCs w:val="24"/>
        </w:rPr>
        <w:t>Domestic violence, including intimate partner violence, remains a major form of</w:t>
      </w:r>
      <w:r w:rsidRPr="00D92F47">
        <w:rPr>
          <w:rFonts w:ascii="Times New Roman" w:hAnsi="Times New Roman"/>
          <w:sz w:val="24"/>
          <w:szCs w:val="24"/>
        </w:rPr>
        <w:t xml:space="preserve"> </w:t>
      </w:r>
      <w:r w:rsidRPr="00D92F47">
        <w:rPr>
          <w:rFonts w:ascii="Times New Roman" w:hAnsi="Times New Roman"/>
          <w:i/>
          <w:sz w:val="24"/>
          <w:szCs w:val="24"/>
        </w:rPr>
        <w:t xml:space="preserve">violence suffered by women in Barbados, and the country continues to develop </w:t>
      </w:r>
      <w:r w:rsidRPr="00D92F47">
        <w:rPr>
          <w:rFonts w:ascii="Times New Roman" w:hAnsi="Times New Roman"/>
          <w:i/>
          <w:sz w:val="24"/>
          <w:szCs w:val="24"/>
        </w:rPr>
        <w:tab/>
        <w:t xml:space="preserve">legislative and policy measures to combat this. Barbados is currently revising its </w:t>
      </w:r>
      <w:r w:rsidRPr="00D92F47">
        <w:rPr>
          <w:rFonts w:ascii="Times New Roman" w:hAnsi="Times New Roman"/>
          <w:i/>
          <w:sz w:val="24"/>
          <w:szCs w:val="24"/>
        </w:rPr>
        <w:tab/>
        <w:t>Domestic Violence (Protection Orders) Act to address gaps in legislation to ensure</w:t>
      </w:r>
      <w:r w:rsidRPr="00D92F47">
        <w:rPr>
          <w:rFonts w:ascii="Times New Roman" w:hAnsi="Times New Roman"/>
          <w:sz w:val="24"/>
          <w:szCs w:val="24"/>
        </w:rPr>
        <w:t xml:space="preserve"> </w:t>
      </w:r>
      <w:r w:rsidRPr="00D92F47">
        <w:rPr>
          <w:rFonts w:ascii="Times New Roman" w:hAnsi="Times New Roman"/>
          <w:i/>
          <w:sz w:val="24"/>
          <w:szCs w:val="24"/>
        </w:rPr>
        <w:t>that all victims are protected.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State must be held accountable in this regard.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 xml:space="preserve">In relation to trafficking of persons, particularly women and girls, as was evident in the previous report there is still lack of clarity in terms of what constitutes trafficking </w:t>
      </w:r>
      <w:r w:rsidRPr="00D92F47">
        <w:rPr>
          <w:rFonts w:ascii="Times New Roman" w:hAnsi="Times New Roman"/>
          <w:sz w:val="24"/>
          <w:szCs w:val="24"/>
        </w:rPr>
        <w:lastRenderedPageBreak/>
        <w:t xml:space="preserve">and there still is no legislation that directly addresses trafficking and exploitation of prostitution which is often associated with trafficking of women and girls.  </w:t>
      </w: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The report indicates that there is now a draft Bill on sexual harassment but no information is provided on a timeline for its enactment.</w:t>
      </w: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 xml:space="preserve">Rape and sexual violence in marriage is addressed in the1992 Sexual Offences Act but the conditions under which a charge can be brought are very narrow and only </w:t>
      </w:r>
      <w:proofErr w:type="gramStart"/>
      <w:r w:rsidRPr="00D92F47">
        <w:rPr>
          <w:rFonts w:ascii="Times New Roman" w:hAnsi="Times New Roman"/>
          <w:sz w:val="24"/>
          <w:szCs w:val="24"/>
        </w:rPr>
        <w:t>protects</w:t>
      </w:r>
      <w:proofErr w:type="gramEnd"/>
      <w:r w:rsidRPr="00D92F47">
        <w:rPr>
          <w:rFonts w:ascii="Times New Roman" w:hAnsi="Times New Roman"/>
          <w:sz w:val="24"/>
          <w:szCs w:val="24"/>
        </w:rPr>
        <w:t xml:space="preserve"> women who have been divorced, separated or where an order has been imposed on the husband. The scope of the legislation needs to be broadened to include by a husband in a ‘normal’ marriage.</w:t>
      </w: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No information is provided on the protection of the reproductive rights or women and girls.</w:t>
      </w:r>
    </w:p>
    <w:p w:rsidR="00DD73E4" w:rsidRPr="00D92F47" w:rsidRDefault="00DD73E4" w:rsidP="00D607C3">
      <w:pPr>
        <w:pStyle w:val="ListParagraph"/>
        <w:numPr>
          <w:ilvl w:val="0"/>
          <w:numId w:val="11"/>
        </w:numPr>
        <w:spacing w:after="0" w:line="240" w:lineRule="auto"/>
        <w:jc w:val="both"/>
        <w:rPr>
          <w:rFonts w:ascii="Times New Roman" w:hAnsi="Times New Roman"/>
          <w:sz w:val="24"/>
          <w:szCs w:val="24"/>
        </w:rPr>
      </w:pPr>
      <w:r w:rsidRPr="00D92F47">
        <w:rPr>
          <w:rFonts w:ascii="Times New Roman" w:hAnsi="Times New Roman"/>
          <w:sz w:val="24"/>
          <w:szCs w:val="24"/>
        </w:rPr>
        <w:t xml:space="preserve">Information is provided indicates that no awareness </w:t>
      </w:r>
      <w:proofErr w:type="spellStart"/>
      <w:r w:rsidRPr="00D92F47">
        <w:rPr>
          <w:rFonts w:ascii="Times New Roman" w:hAnsi="Times New Roman"/>
          <w:sz w:val="24"/>
          <w:szCs w:val="24"/>
        </w:rPr>
        <w:t>cmpaigns</w:t>
      </w:r>
      <w:proofErr w:type="spellEnd"/>
      <w:r w:rsidRPr="00D92F47">
        <w:rPr>
          <w:rFonts w:ascii="Times New Roman" w:hAnsi="Times New Roman"/>
          <w:sz w:val="24"/>
          <w:szCs w:val="24"/>
        </w:rPr>
        <w:t xml:space="preserve"> that deal specifically with the Belem do Para Convention had been held but issues related to the Convention had been addressed in other for a such as during the 16 days of activism following the observance of International Day against Violence against Women.</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In relation to assessment of progress made on indicators related to ‘financial context and budget compromises’ or ‘state capabilities’ as these are identified in relation to legislation, no information is provided.  </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30"/>
        </w:numPr>
        <w:spacing w:after="0" w:line="240" w:lineRule="auto"/>
        <w:jc w:val="both"/>
        <w:rPr>
          <w:rFonts w:ascii="Times New Roman" w:hAnsi="Times New Roman"/>
          <w:b/>
          <w:bCs/>
          <w:color w:val="000000"/>
          <w:sz w:val="24"/>
          <w:szCs w:val="24"/>
        </w:rPr>
      </w:pPr>
      <w:r w:rsidRPr="00D92F47">
        <w:rPr>
          <w:rFonts w:ascii="Times New Roman" w:hAnsi="Times New Roman"/>
          <w:b/>
          <w:sz w:val="24"/>
          <w:szCs w:val="24"/>
        </w:rPr>
        <w:t xml:space="preserve">NATIONAL PLANS – Articles 1, 2, 7 and 8, subparagraphs </w:t>
      </w:r>
      <w:proofErr w:type="spellStart"/>
      <w:r w:rsidRPr="00D92F47">
        <w:rPr>
          <w:rFonts w:ascii="Times New Roman" w:hAnsi="Times New Roman"/>
          <w:b/>
          <w:sz w:val="24"/>
          <w:szCs w:val="24"/>
        </w:rPr>
        <w:t>c</w:t>
      </w:r>
      <w:proofErr w:type="spellEnd"/>
      <w:r w:rsidRPr="00D92F47">
        <w:rPr>
          <w:rFonts w:ascii="Times New Roman" w:hAnsi="Times New Roman"/>
          <w:b/>
          <w:sz w:val="24"/>
          <w:szCs w:val="24"/>
        </w:rPr>
        <w:t>) and d),</w:t>
      </w:r>
      <w:r w:rsidRPr="00D92F47">
        <w:rPr>
          <w:rFonts w:ascii="Times New Roman" w:hAnsi="Times New Roman"/>
          <w:b/>
          <w:bCs/>
          <w:color w:val="000000"/>
          <w:sz w:val="24"/>
          <w:szCs w:val="24"/>
        </w:rPr>
        <w:t xml:space="preserve"> of the </w:t>
      </w:r>
      <w:proofErr w:type="spellStart"/>
      <w:r w:rsidRPr="00D92F47">
        <w:rPr>
          <w:rFonts w:ascii="Times New Roman" w:hAnsi="Times New Roman"/>
          <w:b/>
          <w:bCs/>
          <w:color w:val="000000"/>
          <w:sz w:val="24"/>
          <w:szCs w:val="24"/>
        </w:rPr>
        <w:t>Belém</w:t>
      </w:r>
      <w:proofErr w:type="spellEnd"/>
      <w:r w:rsidRPr="00D92F47">
        <w:rPr>
          <w:rFonts w:ascii="Times New Roman" w:hAnsi="Times New Roman"/>
          <w:b/>
          <w:bCs/>
          <w:color w:val="000000"/>
          <w:sz w:val="24"/>
          <w:szCs w:val="24"/>
        </w:rPr>
        <w:t xml:space="preserve"> do </w:t>
      </w:r>
      <w:proofErr w:type="spellStart"/>
      <w:r w:rsidRPr="00D92F47">
        <w:rPr>
          <w:rFonts w:ascii="Times New Roman" w:hAnsi="Times New Roman"/>
          <w:b/>
          <w:bCs/>
          <w:color w:val="000000"/>
          <w:sz w:val="24"/>
          <w:szCs w:val="24"/>
        </w:rPr>
        <w:t>Pará</w:t>
      </w:r>
      <w:proofErr w:type="spellEnd"/>
      <w:r w:rsidRPr="00D92F47">
        <w:rPr>
          <w:rFonts w:ascii="Times New Roman" w:hAnsi="Times New Roman"/>
          <w:b/>
          <w:bCs/>
          <w:color w:val="000000"/>
          <w:sz w:val="24"/>
          <w:szCs w:val="24"/>
        </w:rPr>
        <w:t xml:space="preserve"> Convention</w:t>
      </w: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main concern raised in the previous Report was that no comprehensive, multi-</w:t>
      </w:r>
      <w:proofErr w:type="spellStart"/>
      <w:r w:rsidRPr="00D92F47">
        <w:rPr>
          <w:rFonts w:ascii="Times New Roman" w:hAnsi="Times New Roman"/>
          <w:sz w:val="24"/>
          <w:szCs w:val="24"/>
        </w:rPr>
        <w:t>sectoral</w:t>
      </w:r>
      <w:proofErr w:type="spellEnd"/>
      <w:r w:rsidRPr="00D92F47">
        <w:rPr>
          <w:rFonts w:ascii="Times New Roman" w:hAnsi="Times New Roman"/>
          <w:sz w:val="24"/>
          <w:szCs w:val="24"/>
        </w:rPr>
        <w:t xml:space="preserve"> national plan had been developed and implemented by the government. It was noted that the plans that were in place seemed to have the issue of VAW as a secondary focus rather than as the primary focus of the </w:t>
      </w:r>
      <w:proofErr w:type="spellStart"/>
      <w:r w:rsidRPr="00D92F47">
        <w:rPr>
          <w:rFonts w:ascii="Times New Roman" w:hAnsi="Times New Roman"/>
          <w:sz w:val="24"/>
          <w:szCs w:val="24"/>
        </w:rPr>
        <w:t>programme</w:t>
      </w:r>
      <w:proofErr w:type="spellEnd"/>
      <w:r w:rsidRPr="00D92F47">
        <w:rPr>
          <w:rFonts w:ascii="Times New Roman" w:hAnsi="Times New Roman"/>
          <w:sz w:val="24"/>
          <w:szCs w:val="24"/>
        </w:rPr>
        <w:t xml:space="preserve"> and seemed to be fragmented rather than integrated. As a result two recommendations were made:</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8"/>
        </w:numPr>
        <w:spacing w:after="0" w:line="240" w:lineRule="auto"/>
        <w:jc w:val="both"/>
        <w:rPr>
          <w:rFonts w:ascii="Times New Roman" w:hAnsi="Times New Roman"/>
          <w:sz w:val="24"/>
          <w:szCs w:val="24"/>
        </w:rPr>
      </w:pPr>
      <w:r w:rsidRPr="00D92F47">
        <w:rPr>
          <w:rFonts w:ascii="Times New Roman" w:hAnsi="Times New Roman"/>
          <w:sz w:val="24"/>
          <w:szCs w:val="24"/>
        </w:rPr>
        <w:t>A comprehensive integrated national plan of action to holistically address all dimensions of violence against women and girls should be developed;</w:t>
      </w:r>
    </w:p>
    <w:p w:rsidR="00DD73E4" w:rsidRPr="00D92F47" w:rsidRDefault="00DD73E4" w:rsidP="00D607C3">
      <w:pPr>
        <w:pStyle w:val="ListParagraph"/>
        <w:numPr>
          <w:ilvl w:val="0"/>
          <w:numId w:val="18"/>
        </w:numPr>
        <w:spacing w:after="0" w:line="240" w:lineRule="auto"/>
        <w:jc w:val="both"/>
        <w:rPr>
          <w:rFonts w:ascii="Times New Roman" w:hAnsi="Times New Roman"/>
          <w:sz w:val="24"/>
          <w:szCs w:val="24"/>
        </w:rPr>
      </w:pPr>
      <w:r w:rsidRPr="00D92F47">
        <w:rPr>
          <w:rFonts w:ascii="Times New Roman" w:hAnsi="Times New Roman"/>
          <w:sz w:val="24"/>
          <w:szCs w:val="24"/>
        </w:rPr>
        <w:t xml:space="preserve">A training </w:t>
      </w:r>
      <w:proofErr w:type="spellStart"/>
      <w:r w:rsidRPr="00D92F47">
        <w:rPr>
          <w:rFonts w:ascii="Times New Roman" w:hAnsi="Times New Roman"/>
          <w:sz w:val="24"/>
          <w:szCs w:val="24"/>
        </w:rPr>
        <w:t>programme</w:t>
      </w:r>
      <w:proofErr w:type="spellEnd"/>
      <w:r w:rsidRPr="00D92F47">
        <w:rPr>
          <w:rFonts w:ascii="Times New Roman" w:hAnsi="Times New Roman"/>
          <w:sz w:val="24"/>
          <w:szCs w:val="24"/>
        </w:rPr>
        <w:t xml:space="preserve"> should be developed and implemented for the range of agencies and stakeholders engaged in combating and eradicating violence against women. </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The information provided in the current narrative report indicates that the situation remains unchanged. </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9"/>
        </w:numPr>
        <w:spacing w:after="0" w:line="240" w:lineRule="auto"/>
        <w:jc w:val="both"/>
        <w:rPr>
          <w:rFonts w:ascii="Times New Roman" w:hAnsi="Times New Roman"/>
          <w:sz w:val="24"/>
          <w:szCs w:val="24"/>
        </w:rPr>
      </w:pPr>
      <w:r w:rsidRPr="00D92F47">
        <w:rPr>
          <w:rFonts w:ascii="Times New Roman" w:hAnsi="Times New Roman"/>
          <w:sz w:val="24"/>
          <w:szCs w:val="24"/>
        </w:rPr>
        <w:t xml:space="preserve">Although there is a HIV/AIDS National Action Plan 2008-2013 and the development of a strategy to combat domestic violence is being currently developed, there is still no comprehensive national action plan or strategy to address the eradication of VAW. According to the report the thrust of the activities around domestic violence is undertaken by the NGO community. This is unacceptable. The Government has a responsibility for meeting obligations under internationally binding conventions </w:t>
      </w:r>
      <w:r w:rsidRPr="00D92F47">
        <w:rPr>
          <w:rFonts w:ascii="Times New Roman" w:hAnsi="Times New Roman"/>
          <w:sz w:val="24"/>
          <w:szCs w:val="24"/>
        </w:rPr>
        <w:lastRenderedPageBreak/>
        <w:t>which it ratifies and although this can be undertaken in collaboration with civil society and the NGO community compliance cannot be regarded as the responsibility of these groups.</w:t>
      </w:r>
    </w:p>
    <w:p w:rsidR="00DD73E4" w:rsidRPr="00D92F47" w:rsidRDefault="00DD73E4" w:rsidP="00D607C3">
      <w:pPr>
        <w:pStyle w:val="ListParagraph"/>
        <w:numPr>
          <w:ilvl w:val="0"/>
          <w:numId w:val="19"/>
        </w:numPr>
        <w:spacing w:after="0" w:line="240" w:lineRule="auto"/>
        <w:jc w:val="both"/>
        <w:rPr>
          <w:rFonts w:ascii="Times New Roman" w:hAnsi="Times New Roman"/>
          <w:sz w:val="24"/>
          <w:szCs w:val="24"/>
        </w:rPr>
      </w:pPr>
      <w:r w:rsidRPr="00D92F47">
        <w:rPr>
          <w:rFonts w:ascii="Times New Roman" w:hAnsi="Times New Roman"/>
          <w:sz w:val="24"/>
          <w:szCs w:val="24"/>
        </w:rPr>
        <w:t xml:space="preserve">No reference is made to the development and mounting of a training </w:t>
      </w:r>
      <w:proofErr w:type="spellStart"/>
      <w:r w:rsidRPr="00D92F47">
        <w:rPr>
          <w:rFonts w:ascii="Times New Roman" w:hAnsi="Times New Roman"/>
          <w:sz w:val="24"/>
          <w:szCs w:val="24"/>
        </w:rPr>
        <w:t>programme</w:t>
      </w:r>
      <w:proofErr w:type="spellEnd"/>
      <w:r w:rsidRPr="00D92F47">
        <w:rPr>
          <w:rFonts w:ascii="Times New Roman" w:hAnsi="Times New Roman"/>
          <w:sz w:val="24"/>
          <w:szCs w:val="24"/>
        </w:rPr>
        <w:t xml:space="preserve"> for agencies and stakeholders engaged in combating VAW.</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recommendations, therefore, are still applicable to the State party in relation to implementation of obligations related to these aspects of the Convention.</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numPr>
          <w:ilvl w:val="0"/>
          <w:numId w:val="30"/>
        </w:numPr>
        <w:spacing w:after="0" w:line="240" w:lineRule="auto"/>
        <w:jc w:val="both"/>
        <w:rPr>
          <w:rFonts w:ascii="Times New Roman" w:hAnsi="Times New Roman"/>
          <w:b/>
          <w:bCs/>
          <w:color w:val="000000"/>
          <w:sz w:val="24"/>
          <w:szCs w:val="24"/>
        </w:rPr>
      </w:pPr>
      <w:r w:rsidRPr="00D92F47">
        <w:rPr>
          <w:rFonts w:ascii="Times New Roman" w:hAnsi="Times New Roman"/>
          <w:b/>
          <w:sz w:val="24"/>
          <w:szCs w:val="24"/>
        </w:rPr>
        <w:t>ACCESS TO JUSTICE -</w:t>
      </w:r>
      <w:r w:rsidRPr="00D92F47">
        <w:rPr>
          <w:rFonts w:ascii="Times New Roman" w:hAnsi="Times New Roman"/>
          <w:b/>
          <w:bCs/>
          <w:color w:val="000000"/>
          <w:sz w:val="24"/>
          <w:szCs w:val="24"/>
        </w:rPr>
        <w:t xml:space="preserve"> Article 7, subparagraphs d) and f), and Article 8, subparagraphs </w:t>
      </w:r>
      <w:proofErr w:type="spellStart"/>
      <w:r w:rsidRPr="00D92F47">
        <w:rPr>
          <w:rFonts w:ascii="Times New Roman" w:hAnsi="Times New Roman"/>
          <w:b/>
          <w:bCs/>
          <w:color w:val="000000"/>
          <w:sz w:val="24"/>
          <w:szCs w:val="24"/>
        </w:rPr>
        <w:t>c</w:t>
      </w:r>
      <w:proofErr w:type="spellEnd"/>
      <w:r w:rsidRPr="00D92F47">
        <w:rPr>
          <w:rFonts w:ascii="Times New Roman" w:hAnsi="Times New Roman"/>
          <w:b/>
          <w:bCs/>
          <w:color w:val="000000"/>
          <w:sz w:val="24"/>
          <w:szCs w:val="24"/>
        </w:rPr>
        <w:t xml:space="preserve">) and d), of the </w:t>
      </w:r>
      <w:proofErr w:type="spellStart"/>
      <w:r w:rsidRPr="00D92F47">
        <w:rPr>
          <w:rFonts w:ascii="Times New Roman" w:hAnsi="Times New Roman"/>
          <w:b/>
          <w:bCs/>
          <w:color w:val="000000"/>
          <w:sz w:val="24"/>
          <w:szCs w:val="24"/>
        </w:rPr>
        <w:t>Belém</w:t>
      </w:r>
      <w:proofErr w:type="spellEnd"/>
      <w:r w:rsidRPr="00D92F47">
        <w:rPr>
          <w:rFonts w:ascii="Times New Roman" w:hAnsi="Times New Roman"/>
          <w:b/>
          <w:bCs/>
          <w:color w:val="000000"/>
          <w:sz w:val="24"/>
          <w:szCs w:val="24"/>
        </w:rPr>
        <w:t xml:space="preserve"> do </w:t>
      </w:r>
      <w:proofErr w:type="spellStart"/>
      <w:r w:rsidRPr="00D92F47">
        <w:rPr>
          <w:rFonts w:ascii="Times New Roman" w:hAnsi="Times New Roman"/>
          <w:b/>
          <w:bCs/>
          <w:color w:val="000000"/>
          <w:sz w:val="24"/>
          <w:szCs w:val="24"/>
        </w:rPr>
        <w:t>Pará</w:t>
      </w:r>
      <w:proofErr w:type="spellEnd"/>
      <w:r w:rsidRPr="00D92F47">
        <w:rPr>
          <w:rFonts w:ascii="Times New Roman" w:hAnsi="Times New Roman"/>
          <w:b/>
          <w:bCs/>
          <w:color w:val="000000"/>
          <w:sz w:val="24"/>
          <w:szCs w:val="24"/>
        </w:rPr>
        <w:t xml:space="preserve"> Convention</w:t>
      </w: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As with the other areas, several gaps were identified in relation to women’s access to justice in the previous report and several recommendations were made to address these shortfalls which related to:</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 xml:space="preserve">Identifying factors that militate against the establishment of entities, other than the police, through which female victims of violence can register complaints; </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 xml:space="preserve">Establishment of additional administrative procedures to ease access to justice by victims; </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 xml:space="preserve">Establishment of mechanisms to protect victims, their relatives and/or witnesses; </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Established a protocol to guide the collection of data on protection orders which allows for the capturing of information on number of complaints, types and number of orders issued and the time frames;</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Establish a protocol of care for victims and mandate the police, prosecutors, health system personnel and others to adhere to the protocol in dealing with victims;</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Disseminate the Convention of Belem do Para to all branches of the Judiciary and educate them on State obligations under the Convention and how it might be applied in rulings and judgments related to cases of VAW.</w:t>
      </w:r>
    </w:p>
    <w:p w:rsidR="00DD73E4" w:rsidRPr="00D92F47" w:rsidRDefault="00DD73E4" w:rsidP="00D607C3">
      <w:pPr>
        <w:pStyle w:val="ListParagraph"/>
        <w:numPr>
          <w:ilvl w:val="0"/>
          <w:numId w:val="21"/>
        </w:numPr>
        <w:spacing w:after="0" w:line="240" w:lineRule="auto"/>
        <w:jc w:val="both"/>
        <w:rPr>
          <w:rFonts w:ascii="Times New Roman" w:hAnsi="Times New Roman"/>
          <w:sz w:val="24"/>
          <w:szCs w:val="24"/>
        </w:rPr>
      </w:pPr>
      <w:r w:rsidRPr="00D92F47">
        <w:rPr>
          <w:rFonts w:ascii="Times New Roman" w:hAnsi="Times New Roman"/>
          <w:sz w:val="24"/>
          <w:szCs w:val="24"/>
        </w:rPr>
        <w:t>Commission a study to assess the impact of stereotypes, prejudices and myths as well as the personal history of victims on the prosecution of cases of violence against women and sentencing of offenders.</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The information provided in the current report indicates that no action has been taken in relation to any of the above recommendations. The recommendations therefore still stand.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In relation to the financial context and budget compromises in relation to access to justice, no new information is provided. In fact, the same information is reiterated and as before the observation that a budget consistent with the extent of the problem needs to be allocated to support activities aimed at addressing the needs of victims, educating the public about prevention and eradicating the problem, remains relevant. No information was provided on indicators related to state capabilities.</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numPr>
          <w:ilvl w:val="0"/>
          <w:numId w:val="30"/>
        </w:numPr>
        <w:spacing w:after="0" w:line="240" w:lineRule="auto"/>
        <w:jc w:val="both"/>
        <w:rPr>
          <w:rFonts w:ascii="Times New Roman" w:hAnsi="Times New Roman"/>
          <w:b/>
          <w:bCs/>
          <w:color w:val="000000"/>
          <w:sz w:val="24"/>
          <w:szCs w:val="24"/>
        </w:rPr>
      </w:pPr>
      <w:r w:rsidRPr="00D92F47">
        <w:rPr>
          <w:rFonts w:ascii="Times New Roman" w:hAnsi="Times New Roman"/>
          <w:b/>
          <w:sz w:val="24"/>
          <w:szCs w:val="24"/>
        </w:rPr>
        <w:t xml:space="preserve">INFORMATION AND STATISTICS – Article 8, subparagraph h), </w:t>
      </w:r>
      <w:r w:rsidRPr="00D92F47">
        <w:rPr>
          <w:rFonts w:ascii="Times New Roman" w:hAnsi="Times New Roman"/>
          <w:b/>
          <w:bCs/>
          <w:color w:val="000000"/>
          <w:sz w:val="24"/>
          <w:szCs w:val="24"/>
        </w:rPr>
        <w:t xml:space="preserve">of the </w:t>
      </w:r>
      <w:proofErr w:type="spellStart"/>
      <w:r w:rsidRPr="00D92F47">
        <w:rPr>
          <w:rFonts w:ascii="Times New Roman" w:hAnsi="Times New Roman"/>
          <w:b/>
          <w:bCs/>
          <w:color w:val="000000"/>
          <w:sz w:val="24"/>
          <w:szCs w:val="24"/>
        </w:rPr>
        <w:t>Belém</w:t>
      </w:r>
      <w:proofErr w:type="spellEnd"/>
      <w:r w:rsidRPr="00D92F47">
        <w:rPr>
          <w:rFonts w:ascii="Times New Roman" w:hAnsi="Times New Roman"/>
          <w:b/>
          <w:bCs/>
          <w:color w:val="000000"/>
          <w:sz w:val="24"/>
          <w:szCs w:val="24"/>
        </w:rPr>
        <w:t xml:space="preserve"> do </w:t>
      </w:r>
      <w:proofErr w:type="spellStart"/>
      <w:r w:rsidRPr="00D92F47">
        <w:rPr>
          <w:rFonts w:ascii="Times New Roman" w:hAnsi="Times New Roman"/>
          <w:b/>
          <w:bCs/>
          <w:color w:val="000000"/>
          <w:sz w:val="24"/>
          <w:szCs w:val="24"/>
        </w:rPr>
        <w:t>Pará</w:t>
      </w:r>
      <w:proofErr w:type="spellEnd"/>
      <w:r w:rsidRPr="00D92F47">
        <w:rPr>
          <w:rFonts w:ascii="Times New Roman" w:hAnsi="Times New Roman"/>
          <w:b/>
          <w:bCs/>
          <w:color w:val="000000"/>
          <w:sz w:val="24"/>
          <w:szCs w:val="24"/>
        </w:rPr>
        <w:t xml:space="preserve"> Convention</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In the previous report three major gaps were identified in relation to the gathering of information and statistics on VAW leading to four recommendations, </w:t>
      </w:r>
      <w:proofErr w:type="spellStart"/>
      <w:r w:rsidRPr="00D92F47">
        <w:rPr>
          <w:rFonts w:ascii="Times New Roman" w:hAnsi="Times New Roman"/>
          <w:sz w:val="24"/>
          <w:szCs w:val="24"/>
        </w:rPr>
        <w:t>viz</w:t>
      </w:r>
      <w:proofErr w:type="spellEnd"/>
      <w:r w:rsidRPr="00D92F47">
        <w:rPr>
          <w:rFonts w:ascii="Times New Roman" w:hAnsi="Times New Roman"/>
          <w:sz w:val="24"/>
          <w:szCs w:val="24"/>
        </w:rPr>
        <w:t>:</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22"/>
        </w:numPr>
        <w:spacing w:after="0" w:line="240" w:lineRule="auto"/>
        <w:jc w:val="both"/>
        <w:rPr>
          <w:rFonts w:ascii="Times New Roman" w:hAnsi="Times New Roman"/>
          <w:sz w:val="24"/>
          <w:szCs w:val="24"/>
        </w:rPr>
      </w:pPr>
      <w:r w:rsidRPr="00D92F47">
        <w:rPr>
          <w:rFonts w:ascii="Times New Roman" w:hAnsi="Times New Roman"/>
          <w:sz w:val="24"/>
          <w:szCs w:val="24"/>
        </w:rPr>
        <w:t xml:space="preserve">The findings of a survey on Prevalence and Characteristics that had been commissioned should be widely disseminated to all stakeholders and used to inform the design development and implementation of a comprehensive plan of action and </w:t>
      </w:r>
      <w:proofErr w:type="spellStart"/>
      <w:r w:rsidRPr="00D92F47">
        <w:rPr>
          <w:rFonts w:ascii="Times New Roman" w:hAnsi="Times New Roman"/>
          <w:sz w:val="24"/>
          <w:szCs w:val="24"/>
        </w:rPr>
        <w:t>programmes</w:t>
      </w:r>
      <w:proofErr w:type="spellEnd"/>
      <w:r w:rsidRPr="00D92F47">
        <w:rPr>
          <w:rFonts w:ascii="Times New Roman" w:hAnsi="Times New Roman"/>
          <w:sz w:val="24"/>
          <w:szCs w:val="24"/>
        </w:rPr>
        <w:t xml:space="preserve"> to address and eradicate VAW; </w:t>
      </w:r>
    </w:p>
    <w:p w:rsidR="00DD73E4" w:rsidRPr="00D92F47" w:rsidRDefault="00DD73E4" w:rsidP="00D607C3">
      <w:pPr>
        <w:pStyle w:val="ListParagraph"/>
        <w:numPr>
          <w:ilvl w:val="0"/>
          <w:numId w:val="22"/>
        </w:numPr>
        <w:spacing w:after="0" w:line="240" w:lineRule="auto"/>
        <w:jc w:val="both"/>
        <w:rPr>
          <w:rFonts w:ascii="Times New Roman" w:hAnsi="Times New Roman"/>
          <w:sz w:val="24"/>
          <w:szCs w:val="24"/>
        </w:rPr>
      </w:pPr>
      <w:r w:rsidRPr="00D92F47">
        <w:rPr>
          <w:rFonts w:ascii="Times New Roman" w:hAnsi="Times New Roman"/>
          <w:sz w:val="24"/>
          <w:szCs w:val="24"/>
        </w:rPr>
        <w:t xml:space="preserve">Indicators should be identified in relation to all </w:t>
      </w:r>
      <w:proofErr w:type="spellStart"/>
      <w:r w:rsidRPr="00D92F47">
        <w:rPr>
          <w:rFonts w:ascii="Times New Roman" w:hAnsi="Times New Roman"/>
          <w:sz w:val="24"/>
          <w:szCs w:val="24"/>
        </w:rPr>
        <w:t>programmes</w:t>
      </w:r>
      <w:proofErr w:type="spellEnd"/>
      <w:r w:rsidRPr="00D92F47">
        <w:rPr>
          <w:rFonts w:ascii="Times New Roman" w:hAnsi="Times New Roman"/>
          <w:sz w:val="24"/>
          <w:szCs w:val="24"/>
        </w:rPr>
        <w:t xml:space="preserve"> offered through government and non-government sectors and relevant, comprehensive, sex-disaggregated data on all aspects of the problem should be collected; and,</w:t>
      </w:r>
    </w:p>
    <w:p w:rsidR="00DD73E4" w:rsidRPr="00D92F47" w:rsidRDefault="00DD73E4" w:rsidP="00D607C3">
      <w:pPr>
        <w:pStyle w:val="ListParagraph"/>
        <w:numPr>
          <w:ilvl w:val="0"/>
          <w:numId w:val="22"/>
        </w:numPr>
        <w:spacing w:after="0" w:line="240" w:lineRule="auto"/>
        <w:jc w:val="both"/>
        <w:rPr>
          <w:rFonts w:ascii="Times New Roman" w:hAnsi="Times New Roman"/>
          <w:sz w:val="24"/>
          <w:szCs w:val="24"/>
        </w:rPr>
      </w:pPr>
      <w:r w:rsidRPr="00D92F47">
        <w:rPr>
          <w:rFonts w:ascii="Times New Roman" w:hAnsi="Times New Roman"/>
          <w:sz w:val="24"/>
          <w:szCs w:val="24"/>
        </w:rPr>
        <w:t>A coordinating mechanism for managing the collection, compilation and the development of a national database on gender-based violence and specifically violence against women should be urgently established.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In formation provided in the current report indicates that in February 2012 a forum was organized by the Bureau of Gender Affairs to disseminate and discuss the findings of the survey. There is no indication, however, of ways in which the findings informed any follow-up action or a plan to address issues revealed by the survey. This continues to be of serious concern particularly since CADRES</w:t>
      </w:r>
      <w:r w:rsidRPr="00D92F47">
        <w:rPr>
          <w:rStyle w:val="FootnoteReference"/>
          <w:rFonts w:ascii="Times New Roman" w:hAnsi="Times New Roman"/>
          <w:sz w:val="24"/>
          <w:szCs w:val="24"/>
        </w:rPr>
        <w:footnoteReference w:id="5"/>
      </w:r>
      <w:r w:rsidRPr="00D92F47">
        <w:rPr>
          <w:rFonts w:ascii="Times New Roman" w:hAnsi="Times New Roman"/>
          <w:sz w:val="24"/>
          <w:szCs w:val="24"/>
        </w:rPr>
        <w:t>, the agency that carried out the survey concluded that;</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 xml:space="preserve">……. the levels of domestic violence are in line with present international averages </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ab/>
      </w:r>
      <w:proofErr w:type="gramStart"/>
      <w:r w:rsidRPr="00D92F47">
        <w:rPr>
          <w:rFonts w:ascii="Times New Roman" w:hAnsi="Times New Roman"/>
          <w:i/>
          <w:sz w:val="24"/>
          <w:szCs w:val="24"/>
        </w:rPr>
        <w:t>and</w:t>
      </w:r>
      <w:proofErr w:type="gramEnd"/>
      <w:r w:rsidRPr="00D92F47">
        <w:rPr>
          <w:rFonts w:ascii="Times New Roman" w:hAnsi="Times New Roman"/>
          <w:i/>
          <w:sz w:val="24"/>
          <w:szCs w:val="24"/>
        </w:rPr>
        <w:t xml:space="preserve"> that it is the deficiencies of the national response and underdeveloped cultural </w:t>
      </w:r>
      <w:r w:rsidRPr="00D92F47">
        <w:rPr>
          <w:rFonts w:ascii="Times New Roman" w:hAnsi="Times New Roman"/>
          <w:i/>
          <w:sz w:val="24"/>
          <w:szCs w:val="24"/>
        </w:rPr>
        <w:tab/>
        <w:t xml:space="preserve">attitudes that have allowed domestic violence to thrive. It further concluded that </w:t>
      </w:r>
    </w:p>
    <w:p w:rsidR="00DD73E4" w:rsidRPr="00D92F47" w:rsidRDefault="00DD73E4" w:rsidP="00D607C3">
      <w:pPr>
        <w:spacing w:after="0" w:line="240" w:lineRule="auto"/>
        <w:jc w:val="both"/>
        <w:rPr>
          <w:rFonts w:ascii="Times New Roman" w:hAnsi="Times New Roman"/>
          <w:i/>
          <w:sz w:val="24"/>
          <w:szCs w:val="24"/>
        </w:rPr>
      </w:pPr>
      <w:r w:rsidRPr="00D92F47">
        <w:rPr>
          <w:rFonts w:ascii="Times New Roman" w:hAnsi="Times New Roman"/>
          <w:i/>
          <w:sz w:val="24"/>
          <w:szCs w:val="24"/>
        </w:rPr>
        <w:tab/>
      </w:r>
      <w:proofErr w:type="gramStart"/>
      <w:r w:rsidRPr="00D92F47">
        <w:rPr>
          <w:rFonts w:ascii="Times New Roman" w:hAnsi="Times New Roman"/>
          <w:i/>
          <w:sz w:val="24"/>
          <w:szCs w:val="24"/>
        </w:rPr>
        <w:t>there</w:t>
      </w:r>
      <w:proofErr w:type="gramEnd"/>
      <w:r w:rsidRPr="00D92F47">
        <w:rPr>
          <w:rFonts w:ascii="Times New Roman" w:hAnsi="Times New Roman"/>
          <w:i/>
          <w:sz w:val="24"/>
          <w:szCs w:val="24"/>
        </w:rPr>
        <w:t xml:space="preserve"> is a need to sensitize law enforcement officers and the public as well as a need </w:t>
      </w:r>
    </w:p>
    <w:p w:rsidR="00DD73E4" w:rsidRPr="00D92F47" w:rsidRDefault="00DD73E4" w:rsidP="00D607C3">
      <w:pPr>
        <w:spacing w:after="0" w:line="240" w:lineRule="auto"/>
        <w:jc w:val="both"/>
        <w:rPr>
          <w:rFonts w:ascii="Times New Roman" w:hAnsi="Times New Roman"/>
          <w:sz w:val="24"/>
          <w:szCs w:val="24"/>
        </w:rPr>
      </w:pPr>
      <w:r w:rsidRPr="00D92F47">
        <w:rPr>
          <w:rFonts w:ascii="Times New Roman" w:hAnsi="Times New Roman"/>
          <w:i/>
          <w:sz w:val="24"/>
          <w:szCs w:val="24"/>
        </w:rPr>
        <w:tab/>
      </w:r>
      <w:proofErr w:type="gramStart"/>
      <w:r w:rsidRPr="00D92F47">
        <w:rPr>
          <w:rFonts w:ascii="Times New Roman" w:hAnsi="Times New Roman"/>
          <w:i/>
          <w:sz w:val="24"/>
          <w:szCs w:val="24"/>
        </w:rPr>
        <w:t>for</w:t>
      </w:r>
      <w:proofErr w:type="gramEnd"/>
      <w:r w:rsidRPr="00D92F47">
        <w:rPr>
          <w:rFonts w:ascii="Times New Roman" w:hAnsi="Times New Roman"/>
          <w:i/>
          <w:sz w:val="24"/>
          <w:szCs w:val="24"/>
        </w:rPr>
        <w:t xml:space="preserve"> change in the legislation.</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In relation to the second and third recommendations that statistics gathered by police are </w:t>
      </w:r>
      <w:r w:rsidRPr="00D92F47">
        <w:rPr>
          <w:rFonts w:ascii="Times New Roman" w:hAnsi="Times New Roman"/>
          <w:sz w:val="24"/>
          <w:szCs w:val="24"/>
        </w:rPr>
        <w:tab/>
        <w:t>not disaggregated by sex and permission would have to be sought to have access to such data.</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No information is provided in the current report in relation to indicators of financial context and budget compromises and state capabilities in relation to information and statistics. </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numPr>
          <w:ilvl w:val="0"/>
          <w:numId w:val="30"/>
        </w:numPr>
        <w:spacing w:after="0" w:line="240" w:lineRule="auto"/>
        <w:jc w:val="both"/>
        <w:rPr>
          <w:rFonts w:ascii="Times New Roman" w:hAnsi="Times New Roman"/>
          <w:b/>
          <w:bCs/>
          <w:color w:val="000000"/>
          <w:sz w:val="24"/>
          <w:szCs w:val="24"/>
        </w:rPr>
      </w:pPr>
      <w:r w:rsidRPr="00D92F47">
        <w:rPr>
          <w:rFonts w:ascii="Times New Roman" w:hAnsi="Times New Roman"/>
          <w:b/>
          <w:sz w:val="24"/>
          <w:szCs w:val="24"/>
        </w:rPr>
        <w:t xml:space="preserve">DIVERSITY – Article 9 of the </w:t>
      </w:r>
      <w:proofErr w:type="spellStart"/>
      <w:r w:rsidRPr="00D92F47">
        <w:rPr>
          <w:rFonts w:ascii="Times New Roman" w:hAnsi="Times New Roman"/>
          <w:b/>
          <w:bCs/>
          <w:color w:val="000000"/>
          <w:sz w:val="24"/>
          <w:szCs w:val="24"/>
        </w:rPr>
        <w:t>Belém</w:t>
      </w:r>
      <w:proofErr w:type="spellEnd"/>
      <w:r w:rsidRPr="00D92F47">
        <w:rPr>
          <w:rFonts w:ascii="Times New Roman" w:hAnsi="Times New Roman"/>
          <w:b/>
          <w:bCs/>
          <w:color w:val="000000"/>
          <w:sz w:val="24"/>
          <w:szCs w:val="24"/>
        </w:rPr>
        <w:t xml:space="preserve"> do </w:t>
      </w:r>
      <w:proofErr w:type="spellStart"/>
      <w:r w:rsidRPr="00D92F47">
        <w:rPr>
          <w:rFonts w:ascii="Times New Roman" w:hAnsi="Times New Roman"/>
          <w:b/>
          <w:bCs/>
          <w:color w:val="000000"/>
          <w:sz w:val="24"/>
          <w:szCs w:val="24"/>
        </w:rPr>
        <w:t>Pará</w:t>
      </w:r>
      <w:proofErr w:type="spellEnd"/>
      <w:r w:rsidRPr="00D92F47">
        <w:rPr>
          <w:rFonts w:ascii="Times New Roman" w:hAnsi="Times New Roman"/>
          <w:b/>
          <w:bCs/>
          <w:color w:val="000000"/>
          <w:sz w:val="24"/>
          <w:szCs w:val="24"/>
        </w:rPr>
        <w:t xml:space="preserve"> Convention</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This dimension of the indicator framework which relates to Article 9 of the Convention was not addressed in the first evaluation round and is therefore not covered in the report under consideration.</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1"/>
        </w:numPr>
        <w:spacing w:after="0" w:line="240" w:lineRule="auto"/>
        <w:jc w:val="both"/>
        <w:rPr>
          <w:rFonts w:ascii="Times New Roman" w:hAnsi="Times New Roman"/>
          <w:b/>
          <w:sz w:val="24"/>
          <w:szCs w:val="24"/>
        </w:rPr>
      </w:pPr>
      <w:r w:rsidRPr="00D92F47">
        <w:rPr>
          <w:rFonts w:ascii="Times New Roman" w:hAnsi="Times New Roman"/>
          <w:b/>
          <w:sz w:val="24"/>
          <w:szCs w:val="24"/>
        </w:rPr>
        <w:lastRenderedPageBreak/>
        <w:t>Summary</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sz w:val="24"/>
          <w:szCs w:val="24"/>
        </w:rPr>
        <w:t xml:space="preserve">Overall, the report under consideration does not differ substantially from the previous report and the recommendations have therefore not been comprehensively addressed, and, even where information is provided no direct correspondence with the indicator matrix can be identified. Any future action taken by the State party to implement the </w:t>
      </w:r>
      <w:r w:rsidRPr="00D92F47">
        <w:rPr>
          <w:rFonts w:ascii="Times New Roman" w:hAnsi="Times New Roman"/>
          <w:i/>
          <w:sz w:val="24"/>
          <w:szCs w:val="24"/>
        </w:rPr>
        <w:t>Belem do Para Convention</w:t>
      </w:r>
      <w:r w:rsidRPr="00D92F47">
        <w:rPr>
          <w:rFonts w:ascii="Times New Roman" w:hAnsi="Times New Roman"/>
          <w:sz w:val="24"/>
          <w:szCs w:val="24"/>
        </w:rPr>
        <w:t xml:space="preserve"> should, therefore, be more closely aligned with the structural and process indicators identified for measuring implementation of the Convention which were adopted by the Committee of Experts (CEVI) on 21st May 2013. This would give greater guarantees that the expected outcomes </w:t>
      </w:r>
      <w:proofErr w:type="gramStart"/>
      <w:r w:rsidRPr="00D92F47">
        <w:rPr>
          <w:rFonts w:ascii="Times New Roman" w:hAnsi="Times New Roman"/>
          <w:sz w:val="24"/>
          <w:szCs w:val="24"/>
        </w:rPr>
        <w:t>as  listed</w:t>
      </w:r>
      <w:proofErr w:type="gramEnd"/>
      <w:r w:rsidRPr="00D92F47">
        <w:rPr>
          <w:rFonts w:ascii="Times New Roman" w:hAnsi="Times New Roman"/>
          <w:sz w:val="24"/>
          <w:szCs w:val="24"/>
        </w:rPr>
        <w:t xml:space="preserve"> in that same matrix would be achieved thereby improving State compliance with obligations under the Convention. Attention to the following structural indicators is suggested:</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23"/>
        </w:numPr>
        <w:spacing w:after="0" w:line="240" w:lineRule="auto"/>
        <w:jc w:val="both"/>
        <w:rPr>
          <w:rFonts w:ascii="Times New Roman" w:hAnsi="Times New Roman"/>
          <w:b/>
          <w:sz w:val="24"/>
          <w:szCs w:val="24"/>
        </w:rPr>
      </w:pPr>
      <w:r w:rsidRPr="00D92F47">
        <w:rPr>
          <w:rFonts w:ascii="Times New Roman" w:hAnsi="Times New Roman"/>
          <w:b/>
          <w:sz w:val="24"/>
          <w:szCs w:val="24"/>
        </w:rPr>
        <w:t>Legislation</w:t>
      </w:r>
    </w:p>
    <w:p w:rsidR="00DD73E4" w:rsidRPr="00D92F47" w:rsidRDefault="00DD73E4" w:rsidP="00D607C3">
      <w:pPr>
        <w:pStyle w:val="ListParagraph"/>
        <w:spacing w:after="0" w:line="240" w:lineRule="auto"/>
        <w:ind w:left="360"/>
        <w:jc w:val="both"/>
        <w:rPr>
          <w:rFonts w:ascii="Times New Roman" w:hAnsi="Times New Roman"/>
          <w:b/>
          <w:sz w:val="24"/>
          <w:szCs w:val="24"/>
        </w:rPr>
      </w:pPr>
    </w:p>
    <w:p w:rsidR="00DD73E4" w:rsidRPr="00D92F47" w:rsidRDefault="00DD73E4" w:rsidP="00D607C3">
      <w:pPr>
        <w:spacing w:after="0" w:line="240" w:lineRule="auto"/>
        <w:jc w:val="both"/>
        <w:rPr>
          <w:rFonts w:ascii="Times New Roman" w:hAnsi="Times New Roman"/>
          <w:b/>
          <w:sz w:val="24"/>
          <w:szCs w:val="24"/>
        </w:rPr>
      </w:pPr>
      <w:r w:rsidRPr="00D92F47">
        <w:rPr>
          <w:rFonts w:ascii="Times New Roman" w:hAnsi="Times New Roman"/>
          <w:b/>
          <w:sz w:val="24"/>
          <w:szCs w:val="24"/>
        </w:rPr>
        <w:t>Structural indicators</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 xml:space="preserve">Legislative reform – R1 </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Comprehensive definition of VAW – R1, R2</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Enactment of anti-trafficking legislation – R2</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Enactment of sexual harassment legislation – R3, R4</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Rape and sexual violence within marriage and de facto unions – R4</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Protection of sexual and reproductive health – R9-R14</w:t>
      </w:r>
    </w:p>
    <w:p w:rsidR="00DD73E4" w:rsidRPr="00D92F47" w:rsidRDefault="00DD73E4" w:rsidP="00D607C3">
      <w:pPr>
        <w:pStyle w:val="ListParagraph"/>
        <w:numPr>
          <w:ilvl w:val="0"/>
          <w:numId w:val="24"/>
        </w:numPr>
        <w:spacing w:after="0" w:line="240" w:lineRule="auto"/>
        <w:jc w:val="both"/>
        <w:rPr>
          <w:rFonts w:ascii="Times New Roman" w:hAnsi="Times New Roman"/>
          <w:sz w:val="24"/>
          <w:szCs w:val="24"/>
        </w:rPr>
      </w:pPr>
      <w:r w:rsidRPr="00D92F47">
        <w:rPr>
          <w:rFonts w:ascii="Times New Roman" w:hAnsi="Times New Roman"/>
          <w:sz w:val="24"/>
          <w:szCs w:val="24"/>
        </w:rPr>
        <w:t>Public awareness campaigns – R16</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b/>
          <w:sz w:val="24"/>
          <w:szCs w:val="24"/>
        </w:rPr>
        <w:t>Budgetary Commitments</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spacing w:after="0" w:line="240" w:lineRule="auto"/>
        <w:jc w:val="both"/>
        <w:rPr>
          <w:rFonts w:ascii="Times New Roman" w:hAnsi="Times New Roman"/>
          <w:sz w:val="24"/>
          <w:szCs w:val="24"/>
        </w:rPr>
      </w:pPr>
      <w:r w:rsidRPr="00D92F47">
        <w:rPr>
          <w:rFonts w:ascii="Times New Roman" w:hAnsi="Times New Roman"/>
          <w:sz w:val="24"/>
          <w:szCs w:val="24"/>
        </w:rPr>
        <w:t>Indicators – R1, R34, R35</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23"/>
        </w:numPr>
        <w:spacing w:after="0" w:line="240" w:lineRule="auto"/>
        <w:jc w:val="both"/>
        <w:rPr>
          <w:rFonts w:ascii="Times New Roman" w:hAnsi="Times New Roman"/>
          <w:b/>
          <w:sz w:val="24"/>
          <w:szCs w:val="24"/>
        </w:rPr>
      </w:pPr>
      <w:r w:rsidRPr="00D92F47">
        <w:rPr>
          <w:rFonts w:ascii="Times New Roman" w:hAnsi="Times New Roman"/>
          <w:b/>
          <w:sz w:val="24"/>
          <w:szCs w:val="24"/>
        </w:rPr>
        <w:t>National Plans</w:t>
      </w:r>
    </w:p>
    <w:p w:rsidR="00DD73E4" w:rsidRPr="00D92F47" w:rsidRDefault="00DD73E4" w:rsidP="00D607C3">
      <w:pPr>
        <w:spacing w:after="0" w:line="240" w:lineRule="auto"/>
        <w:jc w:val="both"/>
        <w:rPr>
          <w:rFonts w:ascii="Times New Roman" w:hAnsi="Times New Roman"/>
          <w:b/>
          <w:sz w:val="24"/>
          <w:szCs w:val="24"/>
        </w:rPr>
      </w:pPr>
      <w:r w:rsidRPr="00D92F47">
        <w:rPr>
          <w:rFonts w:ascii="Times New Roman" w:hAnsi="Times New Roman"/>
          <w:b/>
          <w:sz w:val="24"/>
          <w:szCs w:val="24"/>
        </w:rPr>
        <w:t>Structural Indicators</w:t>
      </w:r>
    </w:p>
    <w:p w:rsidR="00DD73E4" w:rsidRPr="00D92F47" w:rsidRDefault="00DD73E4" w:rsidP="00D607C3">
      <w:pPr>
        <w:pStyle w:val="ListParagraph"/>
        <w:numPr>
          <w:ilvl w:val="0"/>
          <w:numId w:val="25"/>
        </w:numPr>
        <w:spacing w:after="0" w:line="240" w:lineRule="auto"/>
        <w:jc w:val="both"/>
        <w:rPr>
          <w:rFonts w:ascii="Times New Roman" w:hAnsi="Times New Roman"/>
          <w:sz w:val="24"/>
          <w:szCs w:val="24"/>
        </w:rPr>
      </w:pPr>
      <w:r w:rsidRPr="00D92F47">
        <w:rPr>
          <w:rFonts w:ascii="Times New Roman" w:hAnsi="Times New Roman"/>
          <w:sz w:val="24"/>
          <w:szCs w:val="24"/>
        </w:rPr>
        <w:t>Comprehensive integrated national plan – R17, R18, R20</w:t>
      </w:r>
    </w:p>
    <w:p w:rsidR="00DD73E4" w:rsidRPr="00D92F47" w:rsidRDefault="00DD73E4" w:rsidP="00D607C3">
      <w:pPr>
        <w:pStyle w:val="ListParagraph"/>
        <w:numPr>
          <w:ilvl w:val="0"/>
          <w:numId w:val="25"/>
        </w:numPr>
        <w:spacing w:after="0" w:line="240" w:lineRule="auto"/>
        <w:jc w:val="both"/>
        <w:rPr>
          <w:rFonts w:ascii="Times New Roman" w:hAnsi="Times New Roman"/>
          <w:sz w:val="24"/>
          <w:szCs w:val="24"/>
        </w:rPr>
      </w:pPr>
      <w:r w:rsidRPr="00D92F47">
        <w:rPr>
          <w:rFonts w:ascii="Times New Roman" w:hAnsi="Times New Roman"/>
          <w:sz w:val="24"/>
          <w:szCs w:val="24"/>
        </w:rPr>
        <w:t>Training of agencies engaged in combating and eradicating VAW – R19</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b/>
          <w:sz w:val="24"/>
          <w:szCs w:val="24"/>
        </w:rPr>
        <w:t>Budgetary Commitments</w:t>
      </w:r>
    </w:p>
    <w:p w:rsidR="00DD73E4" w:rsidRPr="00D92F47" w:rsidRDefault="00DD73E4" w:rsidP="00D607C3">
      <w:pPr>
        <w:spacing w:after="0" w:line="240" w:lineRule="auto"/>
        <w:jc w:val="both"/>
        <w:rPr>
          <w:rFonts w:ascii="Times New Roman" w:hAnsi="Times New Roman"/>
          <w:sz w:val="24"/>
          <w:szCs w:val="24"/>
        </w:rPr>
      </w:pPr>
      <w:r w:rsidRPr="00D92F47">
        <w:rPr>
          <w:rFonts w:ascii="Times New Roman" w:hAnsi="Times New Roman"/>
          <w:sz w:val="24"/>
          <w:szCs w:val="24"/>
        </w:rPr>
        <w:t>Indicator – R36</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D607C3">
      <w:pPr>
        <w:pStyle w:val="ListParagraph"/>
        <w:numPr>
          <w:ilvl w:val="0"/>
          <w:numId w:val="23"/>
        </w:numPr>
        <w:spacing w:after="0" w:line="240" w:lineRule="auto"/>
        <w:jc w:val="both"/>
        <w:rPr>
          <w:rFonts w:ascii="Times New Roman" w:hAnsi="Times New Roman"/>
          <w:b/>
          <w:sz w:val="24"/>
          <w:szCs w:val="24"/>
        </w:rPr>
      </w:pPr>
      <w:r w:rsidRPr="00D92F47">
        <w:rPr>
          <w:rFonts w:ascii="Times New Roman" w:hAnsi="Times New Roman"/>
          <w:b/>
          <w:sz w:val="24"/>
          <w:szCs w:val="24"/>
        </w:rPr>
        <w:t>Access to Justice</w:t>
      </w:r>
    </w:p>
    <w:p w:rsidR="00DD73E4" w:rsidRPr="00D92F47" w:rsidRDefault="00DD73E4" w:rsidP="00D607C3">
      <w:pPr>
        <w:pStyle w:val="ListParagraph"/>
        <w:spacing w:after="0" w:line="240" w:lineRule="auto"/>
        <w:ind w:left="360"/>
        <w:jc w:val="both"/>
        <w:rPr>
          <w:rFonts w:ascii="Times New Roman" w:hAnsi="Times New Roman"/>
          <w:b/>
          <w:sz w:val="24"/>
          <w:szCs w:val="24"/>
        </w:rPr>
      </w:pPr>
    </w:p>
    <w:p w:rsidR="00DD73E4" w:rsidRPr="00D92F47" w:rsidRDefault="00DD73E4" w:rsidP="00D607C3">
      <w:pPr>
        <w:spacing w:after="0" w:line="240" w:lineRule="auto"/>
        <w:jc w:val="both"/>
        <w:rPr>
          <w:rFonts w:ascii="Times New Roman" w:hAnsi="Times New Roman"/>
          <w:b/>
          <w:sz w:val="24"/>
          <w:szCs w:val="24"/>
        </w:rPr>
      </w:pPr>
      <w:r w:rsidRPr="00D92F47">
        <w:rPr>
          <w:rFonts w:ascii="Times New Roman" w:hAnsi="Times New Roman"/>
          <w:b/>
          <w:sz w:val="24"/>
          <w:szCs w:val="24"/>
        </w:rPr>
        <w:t>Structural/Process Indicators</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Entities for receiving complaints outside of the police – R23</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Additional administrative procedures to increase access to justice – R23, R24</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Protection measures for victims, families and witnesses – R26</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Protocol for guiding collection of data – R6, R25, R40</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Protocol for guiding care of victims</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lastRenderedPageBreak/>
        <w:t>Disseminate convention to all branches of the judiciary – R 19, R28, R40</w:t>
      </w:r>
    </w:p>
    <w:p w:rsidR="00DD73E4" w:rsidRPr="00D92F47" w:rsidRDefault="00DD73E4" w:rsidP="00D607C3">
      <w:pPr>
        <w:pStyle w:val="ListParagraph"/>
        <w:numPr>
          <w:ilvl w:val="0"/>
          <w:numId w:val="26"/>
        </w:numPr>
        <w:spacing w:after="0" w:line="240" w:lineRule="auto"/>
        <w:jc w:val="both"/>
        <w:rPr>
          <w:rFonts w:ascii="Times New Roman" w:hAnsi="Times New Roman"/>
          <w:sz w:val="24"/>
          <w:szCs w:val="24"/>
        </w:rPr>
      </w:pPr>
      <w:r w:rsidRPr="00D92F47">
        <w:rPr>
          <w:rFonts w:ascii="Times New Roman" w:hAnsi="Times New Roman"/>
          <w:sz w:val="24"/>
          <w:szCs w:val="24"/>
        </w:rPr>
        <w:t>Study to assess impact of stereotypes on fostering violence and on sentencing of perpetrators – R1, R37</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b/>
          <w:sz w:val="24"/>
          <w:szCs w:val="24"/>
        </w:rPr>
        <w:t>Budgetary Commitment</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spacing w:after="0" w:line="240" w:lineRule="auto"/>
        <w:jc w:val="both"/>
        <w:rPr>
          <w:rFonts w:ascii="Times New Roman" w:hAnsi="Times New Roman"/>
          <w:b/>
          <w:sz w:val="24"/>
          <w:szCs w:val="24"/>
        </w:rPr>
      </w:pPr>
      <w:r w:rsidRPr="00D92F47">
        <w:rPr>
          <w:rFonts w:ascii="Times New Roman" w:hAnsi="Times New Roman"/>
          <w:sz w:val="24"/>
          <w:szCs w:val="24"/>
        </w:rPr>
        <w:t>Indicators – R23, R30</w:t>
      </w:r>
    </w:p>
    <w:p w:rsidR="00DD73E4" w:rsidRPr="00D92F47" w:rsidRDefault="00DD73E4" w:rsidP="00D607C3">
      <w:pPr>
        <w:spacing w:after="0" w:line="240" w:lineRule="auto"/>
        <w:jc w:val="both"/>
        <w:rPr>
          <w:rFonts w:ascii="Times New Roman" w:hAnsi="Times New Roman"/>
          <w:b/>
          <w:sz w:val="24"/>
          <w:szCs w:val="24"/>
        </w:rPr>
      </w:pPr>
    </w:p>
    <w:p w:rsidR="00DD73E4" w:rsidRPr="00D92F47" w:rsidRDefault="00DD73E4" w:rsidP="00D607C3">
      <w:pPr>
        <w:pStyle w:val="ListParagraph"/>
        <w:numPr>
          <w:ilvl w:val="0"/>
          <w:numId w:val="23"/>
        </w:numPr>
        <w:spacing w:after="0" w:line="240" w:lineRule="auto"/>
        <w:jc w:val="both"/>
        <w:rPr>
          <w:rFonts w:ascii="Times New Roman" w:hAnsi="Times New Roman"/>
          <w:b/>
          <w:sz w:val="24"/>
          <w:szCs w:val="24"/>
        </w:rPr>
      </w:pPr>
      <w:r w:rsidRPr="00D92F47">
        <w:rPr>
          <w:rFonts w:ascii="Times New Roman" w:hAnsi="Times New Roman"/>
          <w:b/>
          <w:sz w:val="24"/>
          <w:szCs w:val="24"/>
        </w:rPr>
        <w:t>Information and statistics</w:t>
      </w:r>
    </w:p>
    <w:p w:rsidR="00DD73E4" w:rsidRPr="00D92F47" w:rsidRDefault="00DD73E4" w:rsidP="00D607C3">
      <w:pPr>
        <w:pStyle w:val="ListParagraph"/>
        <w:spacing w:after="0" w:line="240" w:lineRule="auto"/>
        <w:ind w:left="360"/>
        <w:jc w:val="both"/>
        <w:rPr>
          <w:rFonts w:ascii="Times New Roman" w:hAnsi="Times New Roman"/>
          <w:b/>
          <w:sz w:val="24"/>
          <w:szCs w:val="24"/>
        </w:rPr>
      </w:pPr>
    </w:p>
    <w:p w:rsidR="00DD73E4" w:rsidRPr="00D92F47" w:rsidRDefault="00DD73E4" w:rsidP="00D607C3">
      <w:pPr>
        <w:spacing w:after="0" w:line="240" w:lineRule="auto"/>
        <w:jc w:val="both"/>
        <w:rPr>
          <w:rFonts w:ascii="Times New Roman" w:hAnsi="Times New Roman"/>
          <w:b/>
          <w:sz w:val="24"/>
          <w:szCs w:val="24"/>
        </w:rPr>
      </w:pPr>
      <w:r w:rsidRPr="00D92F47">
        <w:rPr>
          <w:rFonts w:ascii="Times New Roman" w:hAnsi="Times New Roman"/>
          <w:b/>
          <w:sz w:val="24"/>
          <w:szCs w:val="24"/>
        </w:rPr>
        <w:t>Structural Indicators</w:t>
      </w:r>
    </w:p>
    <w:p w:rsidR="00DD73E4" w:rsidRPr="00D92F47" w:rsidRDefault="00DD73E4" w:rsidP="00D607C3">
      <w:pPr>
        <w:pStyle w:val="ListParagraph"/>
        <w:numPr>
          <w:ilvl w:val="0"/>
          <w:numId w:val="27"/>
        </w:numPr>
        <w:spacing w:after="0" w:line="240" w:lineRule="auto"/>
        <w:jc w:val="both"/>
        <w:rPr>
          <w:rFonts w:ascii="Times New Roman" w:hAnsi="Times New Roman"/>
          <w:sz w:val="24"/>
          <w:szCs w:val="24"/>
        </w:rPr>
      </w:pPr>
      <w:r w:rsidRPr="00D92F47">
        <w:rPr>
          <w:rFonts w:ascii="Times New Roman" w:hAnsi="Times New Roman"/>
          <w:sz w:val="24"/>
          <w:szCs w:val="24"/>
        </w:rPr>
        <w:t>Dissemination of data on VAW – R1, R38</w:t>
      </w:r>
    </w:p>
    <w:p w:rsidR="00DD73E4" w:rsidRPr="00D92F47" w:rsidRDefault="00DD73E4" w:rsidP="00D607C3">
      <w:pPr>
        <w:pStyle w:val="ListParagraph"/>
        <w:numPr>
          <w:ilvl w:val="0"/>
          <w:numId w:val="27"/>
        </w:numPr>
        <w:spacing w:after="0" w:line="240" w:lineRule="auto"/>
        <w:jc w:val="both"/>
        <w:rPr>
          <w:rFonts w:ascii="Times New Roman" w:hAnsi="Times New Roman"/>
          <w:sz w:val="24"/>
          <w:szCs w:val="24"/>
        </w:rPr>
      </w:pPr>
      <w:r w:rsidRPr="00D92F47">
        <w:rPr>
          <w:rFonts w:ascii="Times New Roman" w:hAnsi="Times New Roman"/>
          <w:sz w:val="24"/>
          <w:szCs w:val="24"/>
        </w:rPr>
        <w:t>Identification of relevant indicators – see relevant section of indicator matrix.</w:t>
      </w:r>
    </w:p>
    <w:p w:rsidR="00DD73E4" w:rsidRPr="00D92F47" w:rsidRDefault="00DD73E4" w:rsidP="00D607C3">
      <w:pPr>
        <w:pStyle w:val="ListParagraph"/>
        <w:numPr>
          <w:ilvl w:val="0"/>
          <w:numId w:val="27"/>
        </w:numPr>
        <w:spacing w:after="0" w:line="240" w:lineRule="auto"/>
        <w:jc w:val="both"/>
        <w:rPr>
          <w:rFonts w:ascii="Times New Roman" w:hAnsi="Times New Roman"/>
          <w:sz w:val="24"/>
          <w:szCs w:val="24"/>
        </w:rPr>
      </w:pPr>
      <w:r w:rsidRPr="00D92F47">
        <w:rPr>
          <w:rFonts w:ascii="Times New Roman" w:hAnsi="Times New Roman"/>
          <w:sz w:val="24"/>
          <w:szCs w:val="24"/>
        </w:rPr>
        <w:t>Coordinating mechanism for compilation of a national database – R1, R37, R39</w:t>
      </w:r>
    </w:p>
    <w:p w:rsidR="00DD73E4" w:rsidRPr="00D92F47" w:rsidRDefault="00DD73E4" w:rsidP="00D607C3">
      <w:pPr>
        <w:spacing w:after="0" w:line="240" w:lineRule="auto"/>
        <w:jc w:val="both"/>
        <w:rPr>
          <w:rFonts w:ascii="Times New Roman" w:hAnsi="Times New Roman"/>
          <w:sz w:val="24"/>
          <w:szCs w:val="24"/>
        </w:rPr>
      </w:pPr>
    </w:p>
    <w:p w:rsidR="00DD73E4" w:rsidRPr="00D92F47" w:rsidRDefault="00DD73E4" w:rsidP="000A23F5">
      <w:pPr>
        <w:numPr>
          <w:ilvl w:val="0"/>
          <w:numId w:val="29"/>
        </w:numPr>
        <w:spacing w:after="0" w:line="240" w:lineRule="auto"/>
        <w:jc w:val="both"/>
        <w:rPr>
          <w:rFonts w:ascii="Times New Roman" w:hAnsi="Times New Roman"/>
          <w:sz w:val="24"/>
          <w:szCs w:val="24"/>
        </w:rPr>
      </w:pPr>
      <w:r w:rsidRPr="00D92F47">
        <w:rPr>
          <w:rFonts w:ascii="Times New Roman" w:hAnsi="Times New Roman"/>
          <w:b/>
          <w:sz w:val="24"/>
          <w:szCs w:val="24"/>
        </w:rPr>
        <w:t>Budgetary Commitments</w:t>
      </w:r>
    </w:p>
    <w:p w:rsidR="00DD73E4" w:rsidRPr="00D92F47" w:rsidRDefault="00DD73E4" w:rsidP="000A23F5">
      <w:pPr>
        <w:spacing w:after="0" w:line="240" w:lineRule="auto"/>
        <w:jc w:val="both"/>
        <w:rPr>
          <w:rFonts w:ascii="Times New Roman" w:hAnsi="Times New Roman"/>
          <w:sz w:val="24"/>
          <w:szCs w:val="24"/>
        </w:rPr>
      </w:pPr>
      <w:r w:rsidRPr="00D92F47">
        <w:rPr>
          <w:rFonts w:ascii="Times New Roman" w:hAnsi="Times New Roman"/>
          <w:sz w:val="24"/>
          <w:szCs w:val="24"/>
        </w:rPr>
        <w:t>Indicators – R1, R34</w:t>
      </w:r>
    </w:p>
    <w:p w:rsidR="00DD73E4" w:rsidRPr="00D92F47" w:rsidRDefault="00DD73E4" w:rsidP="000A23F5">
      <w:pPr>
        <w:spacing w:after="0" w:line="240" w:lineRule="auto"/>
        <w:jc w:val="both"/>
        <w:rPr>
          <w:rFonts w:ascii="Times New Roman" w:hAnsi="Times New Roman"/>
          <w:sz w:val="24"/>
          <w:szCs w:val="24"/>
        </w:rPr>
      </w:pPr>
    </w:p>
    <w:p w:rsidR="00DD73E4" w:rsidRPr="00D92F47" w:rsidRDefault="00DD73E4" w:rsidP="000A23F5">
      <w:pPr>
        <w:spacing w:after="0" w:line="240" w:lineRule="auto"/>
        <w:jc w:val="both"/>
        <w:rPr>
          <w:rFonts w:ascii="Times New Roman" w:hAnsi="Times New Roman"/>
          <w:sz w:val="24"/>
          <w:szCs w:val="24"/>
        </w:rPr>
      </w:pPr>
      <w:r w:rsidRPr="00D92F47">
        <w:rPr>
          <w:rFonts w:ascii="Times New Roman" w:hAnsi="Times New Roman"/>
          <w:sz w:val="24"/>
          <w:szCs w:val="24"/>
        </w:rPr>
        <w:t>Prepared by:</w:t>
      </w:r>
    </w:p>
    <w:p w:rsidR="00DD73E4" w:rsidRPr="00D92F47" w:rsidRDefault="00DD73E4" w:rsidP="000A23F5">
      <w:pPr>
        <w:spacing w:after="0" w:line="240" w:lineRule="auto"/>
        <w:jc w:val="both"/>
        <w:rPr>
          <w:rFonts w:ascii="Times New Roman" w:hAnsi="Times New Roman"/>
          <w:sz w:val="24"/>
          <w:szCs w:val="24"/>
        </w:rPr>
      </w:pPr>
      <w:r w:rsidRPr="00D92F47">
        <w:rPr>
          <w:rFonts w:ascii="Times New Roman" w:hAnsi="Times New Roman"/>
          <w:sz w:val="24"/>
          <w:szCs w:val="24"/>
        </w:rPr>
        <w:t>Barbara Bailey, CEVI Expert</w:t>
      </w:r>
    </w:p>
    <w:p w:rsidR="00DD73E4" w:rsidRDefault="00DD73E4" w:rsidP="000A23F5">
      <w:pPr>
        <w:spacing w:after="0" w:line="240" w:lineRule="auto"/>
        <w:jc w:val="both"/>
        <w:rPr>
          <w:rFonts w:ascii="Times New Roman" w:hAnsi="Times New Roman"/>
          <w:sz w:val="24"/>
          <w:szCs w:val="24"/>
        </w:rPr>
      </w:pPr>
      <w:r w:rsidRPr="00D92F47">
        <w:rPr>
          <w:rFonts w:ascii="Times New Roman" w:hAnsi="Times New Roman"/>
          <w:sz w:val="24"/>
          <w:szCs w:val="24"/>
        </w:rPr>
        <w:t>18-08-2014</w:t>
      </w: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Default="001D57F4" w:rsidP="000A23F5">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b/>
          <w:sz w:val="24"/>
          <w:szCs w:val="24"/>
        </w:rPr>
      </w:pPr>
      <w:r w:rsidRPr="00CA4BBD">
        <w:rPr>
          <w:rFonts w:ascii="Times New Roman" w:hAnsi="Times New Roman"/>
          <w:b/>
          <w:sz w:val="24"/>
          <w:szCs w:val="24"/>
        </w:rPr>
        <w:lastRenderedPageBreak/>
        <w:t xml:space="preserve">Progress on the Recommendations </w:t>
      </w:r>
    </w:p>
    <w:p w:rsidR="001D57F4" w:rsidRPr="00CA4BBD" w:rsidRDefault="001D57F4" w:rsidP="001D57F4">
      <w:pPr>
        <w:spacing w:after="0" w:line="240" w:lineRule="auto"/>
        <w:jc w:val="both"/>
        <w:rPr>
          <w:rFonts w:ascii="Times New Roman" w:hAnsi="Times New Roman"/>
          <w:b/>
          <w:sz w:val="24"/>
          <w:szCs w:val="24"/>
        </w:rPr>
      </w:pPr>
    </w:p>
    <w:p w:rsidR="001D57F4" w:rsidRPr="00CA4BBD" w:rsidRDefault="001D57F4" w:rsidP="001D57F4">
      <w:pPr>
        <w:spacing w:after="0" w:line="240" w:lineRule="auto"/>
        <w:jc w:val="both"/>
        <w:rPr>
          <w:rFonts w:ascii="Times New Roman" w:hAnsi="Times New Roman"/>
          <w:b/>
          <w:sz w:val="24"/>
          <w:szCs w:val="24"/>
        </w:rPr>
      </w:pPr>
      <w:r w:rsidRPr="00CA4BBD">
        <w:rPr>
          <w:rFonts w:ascii="Times New Roman" w:hAnsi="Times New Roman"/>
          <w:sz w:val="24"/>
          <w:szCs w:val="24"/>
        </w:rPr>
        <w:tab/>
        <w:t xml:space="preserve"> </w:t>
      </w: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The Government of Barbados, through the Bureau of Gender Affairs, acknowledges receipt of the follow up Report on the Progress on the Recommendations .The Government of Barbados wishes to clarify and correct some inaccuracies which have been noted in the Report.</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The Government of Barbados through the Bureau of Gender Affairs has sought to implement the recommendations of the Belem Do Para. Contrary to the follow up report for Barbados, action has been taken address the legislation on domestic violence.</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The Bureau of Gender Affairs established the Domestic Violence Law Reform Working Committee in 2012 to do a comprehensive review of the Domestic Violence Protections Order Act (1992) with a view to identifying the deficiencies in the legislation.</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The Committee met between the months of February 2012 and July 2012 and at the conclusion of the meetings, the Committee had made a number of recommendations which sought to strengthen the Act and make the legislation more relevant to the needs of victims and potential victims of domestic violence.  </w:t>
      </w: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One of the recommendations which the Committee made in specific reference to the definition of domestic violence was that:</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The Act should provide a comprehensive definition of “domestic violence”, which takes account not only of physical violence, but also sexual, emotional, physiological and financial abuse.  It should speak directly to the underlying objective of many forms of domestic violence:  the use of controlling or abusive actions that harms the health, safety or well-being of protected. </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As far as the legislation to address rape and sexual violence within marriage (marital rape) and common-law unions, the Committee recommended the following:</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The need for law reform to the Sexual Offences Act (cap 154) to remove all existing immunities for sexual assault perpetrated by husbands as presently exist under the sexual offences Act which provides that the offence of rape is committed by a husband if he has sexual intercourse with his wife without her consent where there is a) a decree nisi of divorce; b) a separation order; </w:t>
      </w:r>
      <w:proofErr w:type="spellStart"/>
      <w:r w:rsidRPr="00CA4BBD">
        <w:rPr>
          <w:rFonts w:ascii="Times New Roman" w:hAnsi="Times New Roman"/>
          <w:sz w:val="24"/>
          <w:szCs w:val="24"/>
        </w:rPr>
        <w:t>c</w:t>
      </w:r>
      <w:proofErr w:type="spellEnd"/>
      <w:r w:rsidRPr="00CA4BBD">
        <w:rPr>
          <w:rFonts w:ascii="Times New Roman" w:hAnsi="Times New Roman"/>
          <w:sz w:val="24"/>
          <w:szCs w:val="24"/>
        </w:rPr>
        <w:t>) a separation agreement; or d) an order of non-molestation.</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These two recommendations were part of a number of recommendations of the Committee that were presented to the Cabinet of Barbados and that were approved in principle by Cabinet. The draft of the new legislation has been prepared and within recent weeks the Bureau of Gender Affairs has been asked to provide feedback on the said draft.   </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b/>
          <w:sz w:val="24"/>
          <w:szCs w:val="24"/>
        </w:rPr>
      </w:pPr>
      <w:r w:rsidRPr="00CA4BBD">
        <w:rPr>
          <w:rFonts w:ascii="Times New Roman" w:hAnsi="Times New Roman"/>
          <w:b/>
          <w:sz w:val="24"/>
          <w:szCs w:val="24"/>
        </w:rPr>
        <w:t>Human Trafficking</w:t>
      </w:r>
    </w:p>
    <w:p w:rsidR="001D57F4" w:rsidRPr="00CA4BBD" w:rsidRDefault="001D57F4" w:rsidP="001D57F4">
      <w:pPr>
        <w:spacing w:after="0" w:line="240" w:lineRule="auto"/>
        <w:jc w:val="both"/>
        <w:rPr>
          <w:rFonts w:ascii="Times New Roman" w:hAnsi="Times New Roman"/>
          <w:b/>
          <w:sz w:val="24"/>
          <w:szCs w:val="24"/>
        </w:rPr>
      </w:pPr>
    </w:p>
    <w:p w:rsidR="001D57F4" w:rsidRPr="00CA4BBD" w:rsidRDefault="001D57F4" w:rsidP="001D57F4">
      <w:pPr>
        <w:spacing w:after="0" w:line="240" w:lineRule="auto"/>
        <w:jc w:val="both"/>
        <w:rPr>
          <w:rFonts w:ascii="Times New Roman" w:hAnsi="Times New Roman"/>
          <w:b/>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The Government of Barbados, through the Bureau of Gender Affairs, has undertaken to enact legislation to combat the scourge of human trafficking.</w:t>
      </w:r>
    </w:p>
    <w:p w:rsidR="001D57F4" w:rsidRPr="00CA4BBD" w:rsidRDefault="001D57F4" w:rsidP="001D57F4">
      <w:pPr>
        <w:spacing w:after="0" w:line="240" w:lineRule="auto"/>
        <w:jc w:val="both"/>
        <w:rPr>
          <w:rFonts w:ascii="Times New Roman" w:hAnsi="Times New Roman"/>
          <w:sz w:val="24"/>
          <w:szCs w:val="24"/>
        </w:rPr>
      </w:pP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In June 2011, the Government of Barbados established a National Task Force on Human Trafficking. The launch of the Task Force meant that Barbados’ approach to trafficking became more coordinated and structured. This approach also saw the development Barbados operations guidelines for the identification and protection of victims of human trafficking and the prosecution of human traffickers. </w:t>
      </w: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The National Task Force on Trafficking in collaboration with the Bureau of Gender Affairs has also developed a work plan which includes training, public awareness campaigns and workshops. These efforts have seen Barbados placed at tier 2 in the Trafficking in Persons Report in June 2014. </w:t>
      </w:r>
    </w:p>
    <w:p w:rsidR="001D57F4" w:rsidRPr="00CA4BBD" w:rsidRDefault="001D57F4" w:rsidP="001D57F4">
      <w:pPr>
        <w:spacing w:after="0" w:line="240" w:lineRule="auto"/>
        <w:jc w:val="both"/>
        <w:rPr>
          <w:rFonts w:ascii="Times New Roman" w:hAnsi="Times New Roman"/>
          <w:sz w:val="24"/>
          <w:szCs w:val="24"/>
        </w:rPr>
      </w:pPr>
      <w:r w:rsidRPr="00CA4BBD">
        <w:rPr>
          <w:rFonts w:ascii="Times New Roman" w:hAnsi="Times New Roman"/>
          <w:sz w:val="24"/>
          <w:szCs w:val="24"/>
        </w:rPr>
        <w:t xml:space="preserve"> </w:t>
      </w:r>
    </w:p>
    <w:p w:rsidR="001D57F4" w:rsidRPr="00D92F47" w:rsidRDefault="001D57F4" w:rsidP="000A23F5">
      <w:pPr>
        <w:spacing w:after="0" w:line="240" w:lineRule="auto"/>
        <w:jc w:val="both"/>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34" type="#_x0000_t202" style="position:absolute;left:0;text-align:left;margin-left:-7.2pt;margin-top:10in;width:266.4pt;height:18pt;z-index:251664384;mso-wrap-style:tight;mso-position-horizontal:absolute;mso-position-vertical:absolute;mso-position-vertical-relative:page" filled="f" stroked="f">
            <v:textbox>
              <w:txbxContent>
                <w:p w:rsidR="001D57F4" w:rsidRPr="00D25606" w:rsidRDefault="001D57F4" w:rsidP="001D57F4">
                  <w:pPr>
                    <w:rPr>
                      <w:rFonts w:ascii="Times New Roman" w:hAnsi="Times New Roman"/>
                      <w:sz w:val="18"/>
                      <w:lang w:val="pt-BR"/>
                    </w:rPr>
                  </w:pPr>
                  <w:fldSimple w:instr=" FILENAME  \* MERGEFORMAT ">
                    <w:r>
                      <w:rPr>
                        <w:rFonts w:ascii="Times New Roman" w:hAnsi="Times New Roman"/>
                        <w:noProof/>
                        <w:sz w:val="18"/>
                        <w:lang w:val="pt-BR"/>
                      </w:rPr>
                      <w:t>CIM03665E01</w:t>
                    </w:r>
                  </w:fldSimple>
                </w:p>
              </w:txbxContent>
            </v:textbox>
            <w10:wrap anchory="page"/>
            <w10:anchorlock/>
          </v:shape>
        </w:pict>
      </w:r>
    </w:p>
    <w:sectPr w:rsidR="001D57F4" w:rsidRPr="00D92F47" w:rsidSect="00D92F47">
      <w:type w:val="continuous"/>
      <w:pgSz w:w="12240" w:h="15840"/>
      <w:pgMar w:top="2160" w:right="1570" w:bottom="1296" w:left="1670" w:header="1080" w:footer="6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3E4" w:rsidRDefault="00DD73E4" w:rsidP="00236D50">
      <w:pPr>
        <w:spacing w:after="0" w:line="240" w:lineRule="auto"/>
      </w:pPr>
      <w:r>
        <w:separator/>
      </w:r>
    </w:p>
  </w:endnote>
  <w:endnote w:type="continuationSeparator" w:id="1">
    <w:p w:rsidR="00DD73E4" w:rsidRDefault="00DD73E4" w:rsidP="00236D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3E4" w:rsidRDefault="00DD73E4" w:rsidP="00236D50">
      <w:pPr>
        <w:spacing w:after="0" w:line="240" w:lineRule="auto"/>
      </w:pPr>
      <w:r>
        <w:separator/>
      </w:r>
    </w:p>
  </w:footnote>
  <w:footnote w:type="continuationSeparator" w:id="1">
    <w:p w:rsidR="00DD73E4" w:rsidRDefault="00DD73E4" w:rsidP="00236D50">
      <w:pPr>
        <w:spacing w:after="0" w:line="240" w:lineRule="auto"/>
      </w:pPr>
      <w:r>
        <w:continuationSeparator/>
      </w:r>
    </w:p>
  </w:footnote>
  <w:footnote w:id="2">
    <w:p w:rsidR="00DD73E4" w:rsidRDefault="00DD73E4">
      <w:pPr>
        <w:pStyle w:val="FootnoteText"/>
      </w:pPr>
      <w:r w:rsidRPr="00560BC9">
        <w:rPr>
          <w:rStyle w:val="FootnoteReference"/>
          <w:rFonts w:ascii="Times New Roman" w:hAnsi="Times New Roman"/>
        </w:rPr>
        <w:footnoteRef/>
      </w:r>
      <w:r w:rsidRPr="00560BC9">
        <w:rPr>
          <w:rFonts w:ascii="Times New Roman" w:hAnsi="Times New Roman"/>
        </w:rPr>
        <w:t xml:space="preserve"> </w:t>
      </w:r>
      <w:proofErr w:type="gramStart"/>
      <w:r w:rsidRPr="00560BC9">
        <w:rPr>
          <w:rFonts w:ascii="Times New Roman" w:hAnsi="Times New Roman"/>
        </w:rPr>
        <w:t>Mechanism of the Follow-up Convention Belem do</w:t>
      </w:r>
      <w:proofErr w:type="gramEnd"/>
      <w:r w:rsidRPr="00560BC9">
        <w:rPr>
          <w:rFonts w:ascii="Times New Roman" w:hAnsi="Times New Roman"/>
        </w:rPr>
        <w:t xml:space="preserve"> Para (MESECVI) 4</w:t>
      </w:r>
      <w:r w:rsidRPr="00560BC9">
        <w:rPr>
          <w:rFonts w:ascii="Times New Roman" w:hAnsi="Times New Roman"/>
          <w:vertAlign w:val="superscript"/>
        </w:rPr>
        <w:t>th</w:t>
      </w:r>
      <w:r w:rsidRPr="00560BC9">
        <w:rPr>
          <w:rFonts w:ascii="Times New Roman" w:hAnsi="Times New Roman"/>
        </w:rPr>
        <w:t xml:space="preserve"> Conference of States Parties, April 16, 2011, </w:t>
      </w:r>
      <w:smartTag w:uri="urn:schemas-microsoft-com:office:smarttags" w:element="City">
        <w:r w:rsidRPr="00560BC9">
          <w:rPr>
            <w:rFonts w:ascii="Times New Roman" w:hAnsi="Times New Roman"/>
          </w:rPr>
          <w:t>Washington</w:t>
        </w:r>
      </w:smartTag>
      <w:r w:rsidRPr="00560BC9">
        <w:rPr>
          <w:rFonts w:ascii="Times New Roman" w:hAnsi="Times New Roman"/>
        </w:rPr>
        <w:t xml:space="preserve">, </w:t>
      </w:r>
      <w:smartTag w:uri="urn:schemas-microsoft-com:office:smarttags" w:element="State">
        <w:r w:rsidRPr="00560BC9">
          <w:rPr>
            <w:rFonts w:ascii="Times New Roman" w:hAnsi="Times New Roman"/>
          </w:rPr>
          <w:t>D.C.</w:t>
        </w:r>
      </w:smartTag>
      <w:r w:rsidRPr="00560BC9">
        <w:rPr>
          <w:rFonts w:ascii="Times New Roman" w:hAnsi="Times New Roman"/>
        </w:rPr>
        <w:t xml:space="preserve"> Final Report on </w:t>
      </w:r>
      <w:smartTag w:uri="urn:schemas-microsoft-com:office:smarttags" w:element="country-region">
        <w:smartTag w:uri="urn:schemas-microsoft-com:office:smarttags" w:element="place">
          <w:r w:rsidRPr="00560BC9">
            <w:rPr>
              <w:rFonts w:ascii="Times New Roman" w:hAnsi="Times New Roman"/>
            </w:rPr>
            <w:t>Barbados</w:t>
          </w:r>
        </w:smartTag>
      </w:smartTag>
      <w:r w:rsidRPr="00560BC9">
        <w:rPr>
          <w:rFonts w:ascii="Times New Roman" w:hAnsi="Times New Roman"/>
        </w:rPr>
        <w:t>. OEA/Ser.L/11.7.10. MESECVI -!V/docs.70/12 20 March 2012</w:t>
      </w:r>
    </w:p>
  </w:footnote>
  <w:footnote w:id="3">
    <w:p w:rsidR="00DD73E4" w:rsidRDefault="00DD73E4" w:rsidP="00D607C3">
      <w:pPr>
        <w:pStyle w:val="FootnoteText"/>
      </w:pPr>
      <w:r w:rsidRPr="00560BC9">
        <w:rPr>
          <w:rStyle w:val="FootnoteReference"/>
          <w:rFonts w:ascii="Times New Roman" w:hAnsi="Times New Roman"/>
        </w:rPr>
        <w:footnoteRef/>
      </w:r>
      <w:r w:rsidRPr="00560BC9">
        <w:rPr>
          <w:rFonts w:ascii="Times New Roman" w:hAnsi="Times New Roman"/>
        </w:rPr>
        <w:t xml:space="preserve"> </w:t>
      </w:r>
      <w:hyperlink r:id="rId1" w:history="1">
        <w:r w:rsidRPr="00560BC9">
          <w:rPr>
            <w:rStyle w:val="Hyperlink"/>
            <w:rFonts w:ascii="Times New Roman" w:hAnsi="Times New Roman"/>
          </w:rPr>
          <w:t>http://www.refworld.org/docid/50b47bfc2.html</w:t>
        </w:r>
      </w:hyperlink>
      <w:r w:rsidRPr="00560BC9">
        <w:rPr>
          <w:rFonts w:ascii="Times New Roman" w:hAnsi="Times New Roman"/>
        </w:rPr>
        <w:t xml:space="preserve"> </w:t>
      </w:r>
    </w:p>
  </w:footnote>
  <w:footnote w:id="4">
    <w:p w:rsidR="00DD73E4" w:rsidRDefault="00DD73E4">
      <w:pPr>
        <w:pStyle w:val="FootnoteText"/>
      </w:pPr>
      <w:r w:rsidRPr="00560BC9">
        <w:rPr>
          <w:rStyle w:val="FootnoteReference"/>
          <w:rFonts w:ascii="Times New Roman" w:hAnsi="Times New Roman"/>
        </w:rPr>
        <w:footnoteRef/>
      </w:r>
      <w:r w:rsidRPr="00560BC9">
        <w:rPr>
          <w:rFonts w:ascii="Times New Roman" w:hAnsi="Times New Roman"/>
        </w:rPr>
        <w:t xml:space="preserve"> </w:t>
      </w:r>
      <w:hyperlink r:id="rId2" w:history="1">
        <w:r w:rsidRPr="00560BC9">
          <w:rPr>
            <w:rStyle w:val="Hyperlink"/>
            <w:rFonts w:ascii="Times New Roman" w:hAnsi="Times New Roman"/>
          </w:rPr>
          <w:t>http://www.un.org/womenwatch/daw/csw/csw57/generaldiscussion/memberstates/barbados.pdf</w:t>
        </w:r>
      </w:hyperlink>
      <w:r>
        <w:t xml:space="preserve"> </w:t>
      </w:r>
    </w:p>
  </w:footnote>
  <w:footnote w:id="5">
    <w:p w:rsidR="00DD73E4" w:rsidRPr="000C4BEB" w:rsidRDefault="00DD73E4" w:rsidP="004D1A85">
      <w:pPr>
        <w:pStyle w:val="FootnoteText"/>
        <w:rPr>
          <w:rFonts w:ascii="Times New Roman" w:hAnsi="Times New Roman"/>
        </w:rPr>
      </w:pPr>
      <w:r w:rsidRPr="000C4BEB">
        <w:rPr>
          <w:rStyle w:val="FootnoteReference"/>
          <w:rFonts w:ascii="Times New Roman" w:hAnsi="Times New Roman"/>
        </w:rPr>
        <w:footnoteRef/>
      </w:r>
      <w:r w:rsidRPr="000C4BEB">
        <w:rPr>
          <w:rFonts w:ascii="Times New Roman" w:hAnsi="Times New Roman"/>
        </w:rPr>
        <w:t xml:space="preserve"> The Prevalence and Characteristics of Domestic Violence and their Implications for HIV Policies </w:t>
      </w:r>
    </w:p>
    <w:p w:rsidR="00DD73E4" w:rsidRDefault="00DD73E4" w:rsidP="004D1A85">
      <w:pPr>
        <w:pStyle w:val="FootnoteText"/>
      </w:pPr>
      <w:r w:rsidRPr="000C4BEB">
        <w:rPr>
          <w:rFonts w:ascii="Times New Roman" w:hAnsi="Times New Roman"/>
        </w:rPr>
        <w:t xml:space="preserve">Boyce, P., National HIV/AIDS Commission, Barbados. </w:t>
      </w:r>
      <w:hyperlink r:id="rId3" w:history="1">
        <w:r w:rsidRPr="000C4BEB">
          <w:rPr>
            <w:rStyle w:val="Hyperlink"/>
            <w:rFonts w:ascii="Times New Roman" w:hAnsi="Times New Roman"/>
          </w:rPr>
          <w:t>http://www.hivgateway.com/entry/fecce31741484d56cb82432b0c6d312d/</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66CA"/>
    <w:multiLevelType w:val="hybridMultilevel"/>
    <w:tmpl w:val="1C7AEC3A"/>
    <w:lvl w:ilvl="0" w:tplc="04090011">
      <w:start w:val="1"/>
      <w:numFmt w:val="decimal"/>
      <w:lvlText w:val="%1)"/>
      <w:lvlJc w:val="left"/>
      <w:pPr>
        <w:ind w:left="1500" w:hanging="360"/>
      </w:pPr>
      <w:rPr>
        <w:rFonts w:cs="Times New Roman"/>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
    <w:nsid w:val="05B651E6"/>
    <w:multiLevelType w:val="hybridMultilevel"/>
    <w:tmpl w:val="5DC6DC8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7336915"/>
    <w:multiLevelType w:val="hybridMultilevel"/>
    <w:tmpl w:val="ADEE24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B405812"/>
    <w:multiLevelType w:val="hybridMultilevel"/>
    <w:tmpl w:val="C2BE67E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F3173C4"/>
    <w:multiLevelType w:val="hybridMultilevel"/>
    <w:tmpl w:val="0EE47D6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E205ACC"/>
    <w:multiLevelType w:val="hybridMultilevel"/>
    <w:tmpl w:val="37D0B5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E2C326B"/>
    <w:multiLevelType w:val="hybridMultilevel"/>
    <w:tmpl w:val="EA845290"/>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1240E94"/>
    <w:multiLevelType w:val="hybridMultilevel"/>
    <w:tmpl w:val="0B8E8D1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6194FEF"/>
    <w:multiLevelType w:val="hybridMultilevel"/>
    <w:tmpl w:val="AF527DA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383EB3"/>
    <w:multiLevelType w:val="hybridMultilevel"/>
    <w:tmpl w:val="493CEFF8"/>
    <w:lvl w:ilvl="0" w:tplc="0409001B">
      <w:start w:val="1"/>
      <w:numFmt w:val="lowerRoman"/>
      <w:lvlText w:val="%1."/>
      <w:lvlJc w:val="right"/>
      <w:pPr>
        <w:ind w:left="900" w:hanging="360"/>
      </w:pPr>
      <w:rPr>
        <w:rFonts w:cs="Times New Roman"/>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
    <w:nsid w:val="36B873CC"/>
    <w:multiLevelType w:val="hybridMultilevel"/>
    <w:tmpl w:val="6F92D5C6"/>
    <w:lvl w:ilvl="0" w:tplc="04090011">
      <w:start w:val="1"/>
      <w:numFmt w:val="decimal"/>
      <w:lvlText w:val="%1)"/>
      <w:lvlJc w:val="left"/>
      <w:pPr>
        <w:ind w:left="1500" w:hanging="360"/>
      </w:pPr>
      <w:rPr>
        <w:rFonts w:cs="Times New Roman"/>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1">
    <w:nsid w:val="3B4F0137"/>
    <w:multiLevelType w:val="hybridMultilevel"/>
    <w:tmpl w:val="7AB4B43A"/>
    <w:lvl w:ilvl="0" w:tplc="0409001B">
      <w:start w:val="1"/>
      <w:numFmt w:val="lowerRoman"/>
      <w:lvlText w:val="%1."/>
      <w:lvlJc w:val="righ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2">
    <w:nsid w:val="3D076812"/>
    <w:multiLevelType w:val="hybridMultilevel"/>
    <w:tmpl w:val="936E6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D11D50"/>
    <w:multiLevelType w:val="hybridMultilevel"/>
    <w:tmpl w:val="978EC0B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46560CA3"/>
    <w:multiLevelType w:val="hybridMultilevel"/>
    <w:tmpl w:val="019C0DA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BED1437"/>
    <w:multiLevelType w:val="hybridMultilevel"/>
    <w:tmpl w:val="BF98C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DC52CA"/>
    <w:multiLevelType w:val="hybridMultilevel"/>
    <w:tmpl w:val="C4EAD5EC"/>
    <w:lvl w:ilvl="0" w:tplc="6BCAAEDC">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A41CB1"/>
    <w:multiLevelType w:val="hybridMultilevel"/>
    <w:tmpl w:val="795C2FD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02A2E9B"/>
    <w:multiLevelType w:val="hybridMultilevel"/>
    <w:tmpl w:val="A7FE2E44"/>
    <w:lvl w:ilvl="0" w:tplc="8AC2A56A">
      <w:start w:val="1"/>
      <w:numFmt w:val="upp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527C33CE"/>
    <w:multiLevelType w:val="hybridMultilevel"/>
    <w:tmpl w:val="75D27014"/>
    <w:lvl w:ilvl="0" w:tplc="FD0EC950">
      <w:start w:val="2"/>
      <w:numFmt w:val="bullet"/>
      <w:lvlText w:val="-"/>
      <w:lvlJc w:val="left"/>
      <w:pPr>
        <w:tabs>
          <w:tab w:val="num" w:pos="720"/>
        </w:tabs>
        <w:ind w:left="720" w:hanging="360"/>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866DB1"/>
    <w:multiLevelType w:val="hybridMultilevel"/>
    <w:tmpl w:val="C4C4457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CC960F8"/>
    <w:multiLevelType w:val="hybridMultilevel"/>
    <w:tmpl w:val="CEE22950"/>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DFA137F"/>
    <w:multiLevelType w:val="hybridMultilevel"/>
    <w:tmpl w:val="52B67A9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3C30E5B"/>
    <w:multiLevelType w:val="hybridMultilevel"/>
    <w:tmpl w:val="BC1C010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8096459"/>
    <w:multiLevelType w:val="hybridMultilevel"/>
    <w:tmpl w:val="E87CA17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8EA1824"/>
    <w:multiLevelType w:val="hybridMultilevel"/>
    <w:tmpl w:val="27F6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433DC8"/>
    <w:multiLevelType w:val="hybridMultilevel"/>
    <w:tmpl w:val="587280E0"/>
    <w:lvl w:ilvl="0" w:tplc="04090011">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B67B19"/>
    <w:multiLevelType w:val="hybridMultilevel"/>
    <w:tmpl w:val="67D60FC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68646E6"/>
    <w:multiLevelType w:val="hybridMultilevel"/>
    <w:tmpl w:val="1CCADD7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B972AF8"/>
    <w:multiLevelType w:val="hybridMultilevel"/>
    <w:tmpl w:val="28BC3C76"/>
    <w:lvl w:ilvl="0" w:tplc="6BCAAEDC">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1"/>
  </w:num>
  <w:num w:numId="4">
    <w:abstractNumId w:val="27"/>
  </w:num>
  <w:num w:numId="5">
    <w:abstractNumId w:val="26"/>
  </w:num>
  <w:num w:numId="6">
    <w:abstractNumId w:val="16"/>
  </w:num>
  <w:num w:numId="7">
    <w:abstractNumId w:val="1"/>
  </w:num>
  <w:num w:numId="8">
    <w:abstractNumId w:val="29"/>
  </w:num>
  <w:num w:numId="9">
    <w:abstractNumId w:val="4"/>
  </w:num>
  <w:num w:numId="10">
    <w:abstractNumId w:val="22"/>
  </w:num>
  <w:num w:numId="11">
    <w:abstractNumId w:val="3"/>
  </w:num>
  <w:num w:numId="12">
    <w:abstractNumId w:val="20"/>
  </w:num>
  <w:num w:numId="13">
    <w:abstractNumId w:val="17"/>
  </w:num>
  <w:num w:numId="14">
    <w:abstractNumId w:val="7"/>
  </w:num>
  <w:num w:numId="15">
    <w:abstractNumId w:val="14"/>
  </w:num>
  <w:num w:numId="16">
    <w:abstractNumId w:val="0"/>
  </w:num>
  <w:num w:numId="17">
    <w:abstractNumId w:val="10"/>
  </w:num>
  <w:num w:numId="18">
    <w:abstractNumId w:val="28"/>
  </w:num>
  <w:num w:numId="19">
    <w:abstractNumId w:val="24"/>
  </w:num>
  <w:num w:numId="20">
    <w:abstractNumId w:val="12"/>
  </w:num>
  <w:num w:numId="21">
    <w:abstractNumId w:val="15"/>
  </w:num>
  <w:num w:numId="22">
    <w:abstractNumId w:val="8"/>
  </w:num>
  <w:num w:numId="23">
    <w:abstractNumId w:val="25"/>
  </w:num>
  <w:num w:numId="24">
    <w:abstractNumId w:val="21"/>
  </w:num>
  <w:num w:numId="25">
    <w:abstractNumId w:val="23"/>
  </w:num>
  <w:num w:numId="26">
    <w:abstractNumId w:val="5"/>
  </w:num>
  <w:num w:numId="27">
    <w:abstractNumId w:val="6"/>
  </w:num>
  <w:num w:numId="28">
    <w:abstractNumId w:val="18"/>
  </w:num>
  <w:num w:numId="29">
    <w:abstractNumId w:val="13"/>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3CE9"/>
    <w:rsid w:val="000237F6"/>
    <w:rsid w:val="00060946"/>
    <w:rsid w:val="00066192"/>
    <w:rsid w:val="00074FA4"/>
    <w:rsid w:val="00096684"/>
    <w:rsid w:val="000A23F5"/>
    <w:rsid w:val="000B3491"/>
    <w:rsid w:val="000B38E9"/>
    <w:rsid w:val="000C4BEB"/>
    <w:rsid w:val="000C786E"/>
    <w:rsid w:val="000E7BAE"/>
    <w:rsid w:val="001077C2"/>
    <w:rsid w:val="00111BFE"/>
    <w:rsid w:val="00116830"/>
    <w:rsid w:val="00122646"/>
    <w:rsid w:val="001229F6"/>
    <w:rsid w:val="00125C0E"/>
    <w:rsid w:val="00136821"/>
    <w:rsid w:val="00142A2B"/>
    <w:rsid w:val="001431B9"/>
    <w:rsid w:val="00156582"/>
    <w:rsid w:val="00162C79"/>
    <w:rsid w:val="00180523"/>
    <w:rsid w:val="001A22C7"/>
    <w:rsid w:val="001B16A9"/>
    <w:rsid w:val="001C666D"/>
    <w:rsid w:val="001D57F4"/>
    <w:rsid w:val="001E395A"/>
    <w:rsid w:val="001E4E9B"/>
    <w:rsid w:val="001F400D"/>
    <w:rsid w:val="001F50C3"/>
    <w:rsid w:val="00203ABD"/>
    <w:rsid w:val="00226252"/>
    <w:rsid w:val="00233853"/>
    <w:rsid w:val="00236D50"/>
    <w:rsid w:val="002628F5"/>
    <w:rsid w:val="00270622"/>
    <w:rsid w:val="00280C02"/>
    <w:rsid w:val="00283DB1"/>
    <w:rsid w:val="002A3973"/>
    <w:rsid w:val="002B0D17"/>
    <w:rsid w:val="002B1393"/>
    <w:rsid w:val="002B3635"/>
    <w:rsid w:val="002C265D"/>
    <w:rsid w:val="002C3E96"/>
    <w:rsid w:val="002D04BF"/>
    <w:rsid w:val="002D1A28"/>
    <w:rsid w:val="002D1B6D"/>
    <w:rsid w:val="002D42CC"/>
    <w:rsid w:val="002E0613"/>
    <w:rsid w:val="002F2A62"/>
    <w:rsid w:val="00312B24"/>
    <w:rsid w:val="00315D2B"/>
    <w:rsid w:val="00321635"/>
    <w:rsid w:val="0033483D"/>
    <w:rsid w:val="00342745"/>
    <w:rsid w:val="00347377"/>
    <w:rsid w:val="0035030D"/>
    <w:rsid w:val="00351C8D"/>
    <w:rsid w:val="0035328B"/>
    <w:rsid w:val="00357C3F"/>
    <w:rsid w:val="00375F61"/>
    <w:rsid w:val="003921B5"/>
    <w:rsid w:val="00392B9D"/>
    <w:rsid w:val="00394232"/>
    <w:rsid w:val="003B3EBE"/>
    <w:rsid w:val="003C6351"/>
    <w:rsid w:val="003E2A5E"/>
    <w:rsid w:val="003F700C"/>
    <w:rsid w:val="00426B1A"/>
    <w:rsid w:val="00434351"/>
    <w:rsid w:val="004652E2"/>
    <w:rsid w:val="00474C1E"/>
    <w:rsid w:val="0049594E"/>
    <w:rsid w:val="004B3735"/>
    <w:rsid w:val="004C339C"/>
    <w:rsid w:val="004C51DC"/>
    <w:rsid w:val="004D1A85"/>
    <w:rsid w:val="004D2EF6"/>
    <w:rsid w:val="004D3C8E"/>
    <w:rsid w:val="004D5672"/>
    <w:rsid w:val="004F0BD2"/>
    <w:rsid w:val="004F221D"/>
    <w:rsid w:val="0050356C"/>
    <w:rsid w:val="00546F15"/>
    <w:rsid w:val="0055215F"/>
    <w:rsid w:val="0055514D"/>
    <w:rsid w:val="005555D8"/>
    <w:rsid w:val="00560BC9"/>
    <w:rsid w:val="005A0A29"/>
    <w:rsid w:val="005B541E"/>
    <w:rsid w:val="005B5493"/>
    <w:rsid w:val="005E38A7"/>
    <w:rsid w:val="005E70DA"/>
    <w:rsid w:val="00601E33"/>
    <w:rsid w:val="006123D1"/>
    <w:rsid w:val="00622210"/>
    <w:rsid w:val="006806D3"/>
    <w:rsid w:val="00684C08"/>
    <w:rsid w:val="006B2143"/>
    <w:rsid w:val="006B3239"/>
    <w:rsid w:val="006B404D"/>
    <w:rsid w:val="006C3BE2"/>
    <w:rsid w:val="006D0AAF"/>
    <w:rsid w:val="006D2DA0"/>
    <w:rsid w:val="006E592F"/>
    <w:rsid w:val="006F078A"/>
    <w:rsid w:val="006F16B8"/>
    <w:rsid w:val="006F5315"/>
    <w:rsid w:val="007040CF"/>
    <w:rsid w:val="00711343"/>
    <w:rsid w:val="0072312D"/>
    <w:rsid w:val="007451CD"/>
    <w:rsid w:val="007554EA"/>
    <w:rsid w:val="00762DC5"/>
    <w:rsid w:val="00763BB4"/>
    <w:rsid w:val="00763CE9"/>
    <w:rsid w:val="00773637"/>
    <w:rsid w:val="007810FB"/>
    <w:rsid w:val="007900D7"/>
    <w:rsid w:val="007A781C"/>
    <w:rsid w:val="007B39BF"/>
    <w:rsid w:val="007E3883"/>
    <w:rsid w:val="0081019E"/>
    <w:rsid w:val="00831FC7"/>
    <w:rsid w:val="00836F0A"/>
    <w:rsid w:val="008407B5"/>
    <w:rsid w:val="00844F38"/>
    <w:rsid w:val="00861CB5"/>
    <w:rsid w:val="00890AAA"/>
    <w:rsid w:val="008934E3"/>
    <w:rsid w:val="008F15A8"/>
    <w:rsid w:val="0090629D"/>
    <w:rsid w:val="00913070"/>
    <w:rsid w:val="00927590"/>
    <w:rsid w:val="00937146"/>
    <w:rsid w:val="0095240A"/>
    <w:rsid w:val="00955D02"/>
    <w:rsid w:val="00977A5A"/>
    <w:rsid w:val="00991731"/>
    <w:rsid w:val="0099363C"/>
    <w:rsid w:val="009B7D89"/>
    <w:rsid w:val="009E6010"/>
    <w:rsid w:val="00A00663"/>
    <w:rsid w:val="00A361FA"/>
    <w:rsid w:val="00A3732E"/>
    <w:rsid w:val="00A40EBC"/>
    <w:rsid w:val="00A91871"/>
    <w:rsid w:val="00AC7D1A"/>
    <w:rsid w:val="00AD21DB"/>
    <w:rsid w:val="00AE4EBF"/>
    <w:rsid w:val="00AF6ADC"/>
    <w:rsid w:val="00B00122"/>
    <w:rsid w:val="00B16E6E"/>
    <w:rsid w:val="00B36F7D"/>
    <w:rsid w:val="00B447E2"/>
    <w:rsid w:val="00B66279"/>
    <w:rsid w:val="00B72D7F"/>
    <w:rsid w:val="00B86E06"/>
    <w:rsid w:val="00B879D8"/>
    <w:rsid w:val="00BB2FFE"/>
    <w:rsid w:val="00BC3698"/>
    <w:rsid w:val="00BC5BEF"/>
    <w:rsid w:val="00BE1408"/>
    <w:rsid w:val="00BE6DB6"/>
    <w:rsid w:val="00C1440F"/>
    <w:rsid w:val="00C21917"/>
    <w:rsid w:val="00C637BA"/>
    <w:rsid w:val="00C63BF8"/>
    <w:rsid w:val="00C73ED3"/>
    <w:rsid w:val="00C82C91"/>
    <w:rsid w:val="00CC025F"/>
    <w:rsid w:val="00D17C57"/>
    <w:rsid w:val="00D21667"/>
    <w:rsid w:val="00D25606"/>
    <w:rsid w:val="00D5786C"/>
    <w:rsid w:val="00D607C3"/>
    <w:rsid w:val="00D611D3"/>
    <w:rsid w:val="00D92F47"/>
    <w:rsid w:val="00D964BB"/>
    <w:rsid w:val="00DC36FD"/>
    <w:rsid w:val="00DD6097"/>
    <w:rsid w:val="00DD72FC"/>
    <w:rsid w:val="00DD73E4"/>
    <w:rsid w:val="00DE6E02"/>
    <w:rsid w:val="00DF28BB"/>
    <w:rsid w:val="00DF7C4D"/>
    <w:rsid w:val="00E06C1F"/>
    <w:rsid w:val="00E10028"/>
    <w:rsid w:val="00E1725E"/>
    <w:rsid w:val="00E20868"/>
    <w:rsid w:val="00E32220"/>
    <w:rsid w:val="00E45CE0"/>
    <w:rsid w:val="00E55DFD"/>
    <w:rsid w:val="00E701AA"/>
    <w:rsid w:val="00E72FB6"/>
    <w:rsid w:val="00EA2454"/>
    <w:rsid w:val="00EB7EB6"/>
    <w:rsid w:val="00EC5943"/>
    <w:rsid w:val="00EC64F6"/>
    <w:rsid w:val="00ED1D95"/>
    <w:rsid w:val="00ED345D"/>
    <w:rsid w:val="00EE24DC"/>
    <w:rsid w:val="00EE5D1A"/>
    <w:rsid w:val="00EE636D"/>
    <w:rsid w:val="00EF5AE0"/>
    <w:rsid w:val="00EF7C66"/>
    <w:rsid w:val="00F00899"/>
    <w:rsid w:val="00F052E5"/>
    <w:rsid w:val="00F338CA"/>
    <w:rsid w:val="00F4243A"/>
    <w:rsid w:val="00F54A3B"/>
    <w:rsid w:val="00F922F9"/>
    <w:rsid w:val="00FA1D52"/>
    <w:rsid w:val="00FB2F42"/>
    <w:rsid w:val="00FB4E87"/>
    <w:rsid w:val="00FC4DAB"/>
    <w:rsid w:val="00FD30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EB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451CD"/>
    <w:pPr>
      <w:ind w:left="720"/>
      <w:contextualSpacing/>
    </w:pPr>
  </w:style>
  <w:style w:type="paragraph" w:styleId="FootnoteText">
    <w:name w:val="footnote text"/>
    <w:basedOn w:val="Normal"/>
    <w:link w:val="FootnoteTextChar"/>
    <w:uiPriority w:val="99"/>
    <w:semiHidden/>
    <w:rsid w:val="00236D50"/>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36D50"/>
    <w:rPr>
      <w:rFonts w:cs="Times New Roman"/>
      <w:sz w:val="20"/>
      <w:szCs w:val="20"/>
    </w:rPr>
  </w:style>
  <w:style w:type="character" w:styleId="FootnoteReference">
    <w:name w:val="footnote reference"/>
    <w:basedOn w:val="DefaultParagraphFont"/>
    <w:uiPriority w:val="99"/>
    <w:semiHidden/>
    <w:rsid w:val="00236D50"/>
    <w:rPr>
      <w:rFonts w:cs="Times New Roman"/>
      <w:vertAlign w:val="superscript"/>
    </w:rPr>
  </w:style>
  <w:style w:type="character" w:styleId="Hyperlink">
    <w:name w:val="Hyperlink"/>
    <w:basedOn w:val="DefaultParagraphFont"/>
    <w:uiPriority w:val="99"/>
    <w:rsid w:val="000B3491"/>
    <w:rPr>
      <w:rFonts w:cs="Times New Roman"/>
      <w:color w:val="0000FF"/>
      <w:u w:val="single"/>
    </w:rPr>
  </w:style>
  <w:style w:type="paragraph" w:styleId="Header">
    <w:name w:val="header"/>
    <w:basedOn w:val="Normal"/>
    <w:link w:val="HeaderChar"/>
    <w:uiPriority w:val="99"/>
    <w:rsid w:val="00FB4E8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B4E87"/>
    <w:rPr>
      <w:rFonts w:cs="Times New Roman"/>
    </w:rPr>
  </w:style>
  <w:style w:type="paragraph" w:styleId="Footer">
    <w:name w:val="footer"/>
    <w:basedOn w:val="Normal"/>
    <w:link w:val="FooterChar"/>
    <w:uiPriority w:val="99"/>
    <w:rsid w:val="00FB4E8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B4E87"/>
    <w:rPr>
      <w:rFonts w:cs="Times New Roman"/>
    </w:rPr>
  </w:style>
  <w:style w:type="paragraph" w:styleId="NormalWeb">
    <w:name w:val="Normal (Web)"/>
    <w:basedOn w:val="Normal"/>
    <w:uiPriority w:val="99"/>
    <w:rsid w:val="00F54A3B"/>
    <w:pPr>
      <w:spacing w:before="100" w:beforeAutospacing="1" w:after="100" w:afterAutospacing="1" w:line="240" w:lineRule="auto"/>
    </w:pPr>
    <w:rPr>
      <w:rFonts w:ascii="Times New Roman" w:hAnsi="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hivgateway.com/entry/fecce31741484d56cb82432b0c6d312d/" TargetMode="External"/><Relationship Id="rId2" Type="http://schemas.openxmlformats.org/officeDocument/2006/relationships/hyperlink" Target="http://www.un.org/womenwatch/daw/csw/csw57/generaldiscussion/memberstates/barbados.pdf" TargetMode="External"/><Relationship Id="rId1" Type="http://schemas.openxmlformats.org/officeDocument/2006/relationships/hyperlink" Target="http://www.refworld.org/docid/50b47bfc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10</Pages>
  <Words>2935</Words>
  <Characters>16067</Characters>
  <Application>Microsoft Office Word</Application>
  <DocSecurity>0</DocSecurity>
  <Lines>133</Lines>
  <Paragraphs>37</Paragraphs>
  <ScaleCrop>false</ScaleCrop>
  <Company/>
  <LinksUpToDate>false</LinksUpToDate>
  <CharactersWithSpaces>18965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bbailey</dc:creator>
  <cp:keywords/>
  <dc:description/>
  <cp:lastModifiedBy>EGarcia</cp:lastModifiedBy>
  <cp:revision>21</cp:revision>
  <dcterms:created xsi:type="dcterms:W3CDTF">2014-08-18T00:30:00Z</dcterms:created>
  <dcterms:modified xsi:type="dcterms:W3CDTF">2014-12-05T17:56:00Z</dcterms:modified>
</cp:coreProperties>
</file>