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458" w:rsidRPr="0088628B" w:rsidRDefault="00B62E3D" w:rsidP="00622458">
      <w:pPr>
        <w:jc w:val="both"/>
        <w:rPr>
          <w:sz w:val="22"/>
          <w:szCs w:val="22"/>
        </w:rPr>
      </w:pPr>
      <w:r>
        <w:rPr>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32" type="#_x0000_t75" alt="MESECVI-LowRes" style="position:absolute;left:0;text-align:left;margin-left:324pt;margin-top:-27pt;width:126pt;height:85.4pt;z-index:-251655680;visibility:visible" wrapcoords="-120 0 -120 21423 21600 21423 21600 0 -120 0">
            <v:imagedata r:id="rId7" o:title=""/>
            <w10:wrap type="tight"/>
          </v:shape>
        </w:pict>
      </w:r>
      <w:r>
        <w:rPr>
          <w:noProof/>
          <w:sz w:val="22"/>
          <w:szCs w:val="22"/>
        </w:rPr>
        <w:pict>
          <v:shape id="_x0000_s1033" type="#_x0000_t75" style="position:absolute;left:0;text-align:left;margin-left:0;margin-top:-36pt;width:82.05pt;height:99pt;z-index:251661824">
            <v:imagedata r:id="rId8" o:title="OAS_Seal_ENG_vertical_"/>
            <w10:wrap type="square"/>
          </v:shape>
        </w:pict>
      </w:r>
      <w:r w:rsidR="00622458" w:rsidRPr="0088628B">
        <w:rPr>
          <w:spacing w:val="-4"/>
          <w:sz w:val="22"/>
          <w:szCs w:val="22"/>
          <w:lang w:val="es-ES"/>
        </w:rPr>
        <w:tab/>
      </w:r>
      <w:r w:rsidR="00622458" w:rsidRPr="0088628B">
        <w:rPr>
          <w:sz w:val="22"/>
          <w:szCs w:val="22"/>
        </w:rPr>
        <w:tab/>
      </w:r>
      <w:r w:rsidR="00622458" w:rsidRPr="0088628B">
        <w:rPr>
          <w:sz w:val="22"/>
          <w:szCs w:val="22"/>
        </w:rPr>
        <w:tab/>
      </w:r>
      <w:r w:rsidR="00622458" w:rsidRPr="0088628B">
        <w:rPr>
          <w:sz w:val="22"/>
          <w:szCs w:val="22"/>
        </w:rPr>
        <w:tab/>
      </w:r>
      <w:r w:rsidR="00622458" w:rsidRPr="0088628B">
        <w:rPr>
          <w:sz w:val="22"/>
          <w:szCs w:val="22"/>
        </w:rPr>
        <w:tab/>
      </w:r>
      <w:r w:rsidR="00622458" w:rsidRPr="0088628B">
        <w:rPr>
          <w:sz w:val="22"/>
          <w:szCs w:val="22"/>
        </w:rPr>
        <w:tab/>
      </w:r>
    </w:p>
    <w:p w:rsidR="00622458" w:rsidRPr="0088628B" w:rsidRDefault="00622458" w:rsidP="00622458">
      <w:pPr>
        <w:jc w:val="both"/>
        <w:rPr>
          <w:sz w:val="22"/>
          <w:szCs w:val="22"/>
        </w:rPr>
      </w:pPr>
    </w:p>
    <w:p w:rsidR="00622458" w:rsidRPr="0088628B" w:rsidRDefault="00622458" w:rsidP="00622458">
      <w:pPr>
        <w:tabs>
          <w:tab w:val="left" w:pos="5580"/>
          <w:tab w:val="left" w:pos="6480"/>
        </w:tabs>
        <w:jc w:val="both"/>
        <w:rPr>
          <w:sz w:val="22"/>
          <w:szCs w:val="22"/>
          <w:lang w:val="es-UY"/>
        </w:rPr>
      </w:pPr>
    </w:p>
    <w:p w:rsidR="00622458" w:rsidRPr="0088628B" w:rsidRDefault="00622458" w:rsidP="00622458">
      <w:pPr>
        <w:tabs>
          <w:tab w:val="left" w:pos="360"/>
          <w:tab w:val="left" w:pos="6480"/>
        </w:tabs>
        <w:ind w:right="-720"/>
        <w:jc w:val="both"/>
        <w:rPr>
          <w:sz w:val="22"/>
          <w:szCs w:val="22"/>
          <w:lang w:val="es-UY"/>
        </w:rPr>
      </w:pPr>
    </w:p>
    <w:p w:rsidR="00622458" w:rsidRPr="0088628B" w:rsidRDefault="00622458" w:rsidP="00622458">
      <w:pPr>
        <w:tabs>
          <w:tab w:val="left" w:pos="360"/>
          <w:tab w:val="left" w:pos="6480"/>
        </w:tabs>
        <w:ind w:right="-720"/>
        <w:jc w:val="both"/>
        <w:rPr>
          <w:sz w:val="22"/>
          <w:szCs w:val="22"/>
          <w:lang w:val="es-UY"/>
        </w:rPr>
      </w:pPr>
    </w:p>
    <w:p w:rsidR="00622458" w:rsidRDefault="00622458" w:rsidP="00622458">
      <w:pPr>
        <w:tabs>
          <w:tab w:val="left" w:pos="360"/>
          <w:tab w:val="left" w:pos="6480"/>
        </w:tabs>
        <w:ind w:right="-720"/>
        <w:jc w:val="both"/>
        <w:rPr>
          <w:b/>
          <w:bCs/>
          <w:caps/>
          <w:color w:val="000000"/>
          <w:sz w:val="22"/>
          <w:szCs w:val="22"/>
        </w:rPr>
      </w:pPr>
    </w:p>
    <w:p w:rsidR="00622458" w:rsidRDefault="00622458" w:rsidP="00622458">
      <w:pPr>
        <w:tabs>
          <w:tab w:val="left" w:pos="360"/>
          <w:tab w:val="left" w:pos="6480"/>
        </w:tabs>
        <w:ind w:right="-720"/>
        <w:jc w:val="both"/>
        <w:rPr>
          <w:b/>
          <w:bCs/>
          <w:caps/>
          <w:color w:val="000000"/>
          <w:sz w:val="22"/>
          <w:szCs w:val="22"/>
        </w:rPr>
      </w:pPr>
    </w:p>
    <w:p w:rsidR="00622458" w:rsidRPr="00D936C0" w:rsidRDefault="00622458" w:rsidP="00622458">
      <w:pPr>
        <w:ind w:right="-720"/>
        <w:rPr>
          <w:b/>
          <w:sz w:val="22"/>
          <w:szCs w:val="22"/>
        </w:rPr>
      </w:pPr>
      <w:r w:rsidRPr="00D936C0">
        <w:rPr>
          <w:bCs/>
          <w:caps/>
          <w:sz w:val="22"/>
          <w:szCs w:val="22"/>
        </w:rPr>
        <w:t>Mechanism to Follow Up on the</w:t>
      </w:r>
      <w:r>
        <w:rPr>
          <w:b/>
          <w:sz w:val="22"/>
          <w:szCs w:val="22"/>
        </w:rPr>
        <w:t xml:space="preserve"> </w:t>
      </w:r>
      <w:r>
        <w:rPr>
          <w:b/>
          <w:sz w:val="22"/>
          <w:szCs w:val="22"/>
        </w:rPr>
        <w:tab/>
      </w:r>
      <w:r>
        <w:rPr>
          <w:b/>
          <w:sz w:val="22"/>
          <w:szCs w:val="22"/>
        </w:rPr>
        <w:tab/>
      </w:r>
      <w:r>
        <w:rPr>
          <w:b/>
          <w:sz w:val="22"/>
          <w:szCs w:val="22"/>
        </w:rPr>
        <w:tab/>
        <w:t xml:space="preserve">          </w:t>
      </w:r>
      <w:r w:rsidRPr="00CF2B3E">
        <w:rPr>
          <w:sz w:val="22"/>
          <w:szCs w:val="22"/>
        </w:rPr>
        <w:t>OEA/</w:t>
      </w:r>
      <w:proofErr w:type="spellStart"/>
      <w:r w:rsidRPr="00CF2B3E">
        <w:rPr>
          <w:sz w:val="22"/>
          <w:szCs w:val="22"/>
        </w:rPr>
        <w:t>Ser.L</w:t>
      </w:r>
      <w:proofErr w:type="spellEnd"/>
      <w:r w:rsidRPr="00CF2B3E">
        <w:rPr>
          <w:sz w:val="22"/>
          <w:szCs w:val="22"/>
        </w:rPr>
        <w:t>/ II.7.10</w:t>
      </w:r>
    </w:p>
    <w:p w:rsidR="00622458" w:rsidRPr="00D936C0" w:rsidRDefault="00622458" w:rsidP="00622458">
      <w:pPr>
        <w:rPr>
          <w:bCs/>
          <w:caps/>
          <w:sz w:val="22"/>
          <w:szCs w:val="22"/>
          <w:lang w:val="pt-BR"/>
        </w:rPr>
      </w:pPr>
      <w:r w:rsidRPr="00D936C0">
        <w:rPr>
          <w:bCs/>
          <w:caps/>
          <w:sz w:val="22"/>
          <w:szCs w:val="22"/>
          <w:lang w:val="pt-BR"/>
        </w:rPr>
        <w:t>Convention of Belém do Pará (MESECVI)</w:t>
      </w:r>
      <w:r w:rsidRPr="00D936C0">
        <w:rPr>
          <w:sz w:val="22"/>
          <w:szCs w:val="22"/>
          <w:lang w:val="pt-BR"/>
        </w:rPr>
        <w:t xml:space="preserve"> </w:t>
      </w:r>
      <w:r>
        <w:rPr>
          <w:sz w:val="22"/>
          <w:szCs w:val="22"/>
          <w:lang w:val="pt-BR"/>
        </w:rPr>
        <w:t xml:space="preserve">                           </w:t>
      </w:r>
      <w:r w:rsidRPr="00D936C0">
        <w:rPr>
          <w:sz w:val="22"/>
          <w:szCs w:val="22"/>
          <w:lang w:val="pt-BR"/>
        </w:rPr>
        <w:t>MESECVI/</w:t>
      </w:r>
      <w:r>
        <w:rPr>
          <w:sz w:val="22"/>
          <w:szCs w:val="22"/>
          <w:lang w:val="pt-BR"/>
        </w:rPr>
        <w:t>I-CE/</w:t>
      </w:r>
      <w:proofErr w:type="spellStart"/>
      <w:proofErr w:type="gramStart"/>
      <w:r w:rsidRPr="00D936C0">
        <w:rPr>
          <w:sz w:val="22"/>
          <w:szCs w:val="22"/>
          <w:lang w:val="pt-BR"/>
        </w:rPr>
        <w:t>doc</w:t>
      </w:r>
      <w:proofErr w:type="spellEnd"/>
      <w:r>
        <w:rPr>
          <w:sz w:val="22"/>
          <w:szCs w:val="22"/>
          <w:lang w:val="pt-BR"/>
        </w:rPr>
        <w:t>.</w:t>
      </w:r>
      <w:proofErr w:type="gramEnd"/>
      <w:r>
        <w:rPr>
          <w:sz w:val="22"/>
          <w:szCs w:val="22"/>
          <w:lang w:val="pt-BR"/>
        </w:rPr>
        <w:t>20</w:t>
      </w:r>
      <w:r w:rsidRPr="00D936C0">
        <w:rPr>
          <w:sz w:val="22"/>
          <w:szCs w:val="22"/>
          <w:lang w:val="pt-BR"/>
        </w:rPr>
        <w:t>/14</w:t>
      </w:r>
    </w:p>
    <w:p w:rsidR="00622458" w:rsidRPr="00D936C0" w:rsidRDefault="00622458" w:rsidP="00622458">
      <w:pPr>
        <w:ind w:right="-720"/>
        <w:rPr>
          <w:b/>
          <w:sz w:val="22"/>
          <w:szCs w:val="22"/>
        </w:rPr>
      </w:pPr>
      <w:r w:rsidRPr="00D936C0">
        <w:rPr>
          <w:b/>
          <w:sz w:val="22"/>
          <w:szCs w:val="22"/>
        </w:rPr>
        <w:t>FIRST SPECIAL CONFERENCE</w:t>
      </w:r>
      <w:r w:rsidRPr="00D936C0">
        <w:rPr>
          <w:b/>
          <w:sz w:val="22"/>
          <w:szCs w:val="22"/>
        </w:rPr>
        <w:tab/>
      </w:r>
      <w:r w:rsidRPr="00D936C0">
        <w:rPr>
          <w:b/>
          <w:sz w:val="22"/>
          <w:szCs w:val="22"/>
        </w:rPr>
        <w:tab/>
      </w:r>
      <w:r w:rsidRPr="00D936C0">
        <w:rPr>
          <w:b/>
          <w:sz w:val="22"/>
          <w:szCs w:val="22"/>
        </w:rPr>
        <w:tab/>
      </w:r>
      <w:r w:rsidRPr="00D936C0">
        <w:rPr>
          <w:b/>
          <w:sz w:val="22"/>
          <w:szCs w:val="22"/>
        </w:rPr>
        <w:tab/>
      </w:r>
      <w:r>
        <w:rPr>
          <w:b/>
          <w:sz w:val="22"/>
          <w:szCs w:val="22"/>
        </w:rPr>
        <w:t xml:space="preserve">          </w:t>
      </w:r>
      <w:r>
        <w:rPr>
          <w:sz w:val="22"/>
          <w:szCs w:val="22"/>
        </w:rPr>
        <w:t>August</w:t>
      </w:r>
      <w:r w:rsidRPr="00D936C0">
        <w:rPr>
          <w:sz w:val="22"/>
          <w:szCs w:val="22"/>
        </w:rPr>
        <w:t xml:space="preserve"> </w:t>
      </w:r>
      <w:r>
        <w:rPr>
          <w:sz w:val="22"/>
          <w:szCs w:val="22"/>
        </w:rPr>
        <w:t>15</w:t>
      </w:r>
      <w:r w:rsidRPr="00CF2B3E">
        <w:rPr>
          <w:sz w:val="22"/>
          <w:szCs w:val="22"/>
          <w:vertAlign w:val="superscript"/>
        </w:rPr>
        <w:t>TH</w:t>
      </w:r>
      <w:r>
        <w:rPr>
          <w:sz w:val="22"/>
          <w:szCs w:val="22"/>
        </w:rPr>
        <w:t>,</w:t>
      </w:r>
      <w:r w:rsidRPr="00D936C0">
        <w:rPr>
          <w:sz w:val="22"/>
          <w:szCs w:val="22"/>
        </w:rPr>
        <w:t xml:space="preserve"> 2014</w:t>
      </w:r>
      <w:r w:rsidRPr="00D936C0">
        <w:rPr>
          <w:b/>
          <w:sz w:val="22"/>
          <w:szCs w:val="22"/>
        </w:rPr>
        <w:tab/>
      </w:r>
      <w:r w:rsidRPr="00D936C0">
        <w:rPr>
          <w:b/>
          <w:sz w:val="22"/>
          <w:szCs w:val="22"/>
        </w:rPr>
        <w:tab/>
      </w:r>
    </w:p>
    <w:p w:rsidR="00622458" w:rsidRPr="00D936C0" w:rsidRDefault="00622458" w:rsidP="00622458">
      <w:pPr>
        <w:tabs>
          <w:tab w:val="left" w:pos="6300"/>
          <w:tab w:val="left" w:pos="7200"/>
        </w:tabs>
        <w:ind w:right="-720"/>
        <w:jc w:val="both"/>
        <w:rPr>
          <w:sz w:val="22"/>
          <w:szCs w:val="22"/>
        </w:rPr>
      </w:pPr>
      <w:r w:rsidRPr="00D936C0">
        <w:rPr>
          <w:b/>
          <w:sz w:val="22"/>
          <w:szCs w:val="22"/>
        </w:rPr>
        <w:t>OF THE STATES PARTY</w:t>
      </w:r>
      <w:r>
        <w:rPr>
          <w:b/>
          <w:sz w:val="22"/>
          <w:szCs w:val="22"/>
        </w:rPr>
        <w:t xml:space="preserve"> TO THE                                              </w:t>
      </w:r>
      <w:r w:rsidRPr="00D936C0">
        <w:rPr>
          <w:sz w:val="22"/>
          <w:szCs w:val="22"/>
        </w:rPr>
        <w:t>Original: Spanish</w:t>
      </w:r>
    </w:p>
    <w:p w:rsidR="00622458" w:rsidRPr="00D936C0" w:rsidRDefault="00622458" w:rsidP="00622458">
      <w:pPr>
        <w:tabs>
          <w:tab w:val="left" w:pos="6480"/>
        </w:tabs>
        <w:ind w:right="-749"/>
        <w:rPr>
          <w:sz w:val="22"/>
          <w:szCs w:val="22"/>
        </w:rPr>
      </w:pPr>
      <w:r w:rsidRPr="00D936C0">
        <w:rPr>
          <w:b/>
          <w:bCs/>
          <w:caps/>
          <w:sz w:val="22"/>
          <w:szCs w:val="22"/>
        </w:rPr>
        <w:t>Convention of Belém do Pará</w:t>
      </w:r>
      <w:r w:rsidRPr="00D936C0">
        <w:rPr>
          <w:sz w:val="22"/>
          <w:szCs w:val="22"/>
        </w:rPr>
        <w:t xml:space="preserve">                                  </w:t>
      </w:r>
      <w:r w:rsidRPr="00D936C0">
        <w:rPr>
          <w:sz w:val="22"/>
          <w:szCs w:val="22"/>
        </w:rPr>
        <w:tab/>
      </w:r>
    </w:p>
    <w:p w:rsidR="00622458" w:rsidRPr="00D936C0" w:rsidRDefault="00622458" w:rsidP="00622458">
      <w:pPr>
        <w:tabs>
          <w:tab w:val="left" w:pos="6480"/>
          <w:tab w:val="left" w:pos="7200"/>
        </w:tabs>
        <w:ind w:right="-720"/>
        <w:jc w:val="both"/>
        <w:rPr>
          <w:sz w:val="22"/>
          <w:szCs w:val="22"/>
        </w:rPr>
      </w:pPr>
      <w:r>
        <w:rPr>
          <w:sz w:val="22"/>
          <w:szCs w:val="22"/>
        </w:rPr>
        <w:t>October 23</w:t>
      </w:r>
      <w:r w:rsidRPr="0067353D">
        <w:rPr>
          <w:sz w:val="22"/>
          <w:szCs w:val="22"/>
          <w:vertAlign w:val="superscript"/>
        </w:rPr>
        <w:t>rd</w:t>
      </w:r>
      <w:r>
        <w:rPr>
          <w:sz w:val="22"/>
          <w:szCs w:val="22"/>
        </w:rPr>
        <w:t xml:space="preserve"> and 24</w:t>
      </w:r>
      <w:r w:rsidRPr="0067353D">
        <w:rPr>
          <w:sz w:val="22"/>
          <w:szCs w:val="22"/>
          <w:vertAlign w:val="superscript"/>
        </w:rPr>
        <w:t>th</w:t>
      </w:r>
      <w:r>
        <w:rPr>
          <w:sz w:val="22"/>
          <w:szCs w:val="22"/>
        </w:rPr>
        <w:t>, 2014</w:t>
      </w:r>
      <w:r w:rsidRPr="00D936C0">
        <w:rPr>
          <w:sz w:val="22"/>
          <w:szCs w:val="22"/>
        </w:rPr>
        <w:tab/>
        <w:t xml:space="preserve">   </w:t>
      </w:r>
    </w:p>
    <w:p w:rsidR="00622458" w:rsidRPr="00D936C0" w:rsidRDefault="00622458" w:rsidP="00622458">
      <w:pPr>
        <w:ind w:right="-720"/>
        <w:jc w:val="both"/>
        <w:outlineLvl w:val="0"/>
        <w:rPr>
          <w:bCs/>
          <w:sz w:val="22"/>
          <w:szCs w:val="22"/>
        </w:rPr>
      </w:pPr>
      <w:smartTag w:uri="urn:schemas-microsoft-com:office:smarttags" w:element="place">
        <w:smartTag w:uri="urn:schemas-microsoft-com:office:smarttags" w:element="City">
          <w:r>
            <w:rPr>
              <w:bCs/>
              <w:sz w:val="22"/>
              <w:szCs w:val="22"/>
            </w:rPr>
            <w:t>Mexico City</w:t>
          </w:r>
        </w:smartTag>
      </w:smartTag>
    </w:p>
    <w:p w:rsidR="00F737C1" w:rsidRPr="00070E6B" w:rsidRDefault="00F737C1" w:rsidP="00344A5F">
      <w:pPr>
        <w:ind w:right="-720"/>
        <w:jc w:val="center"/>
        <w:outlineLvl w:val="0"/>
        <w:rPr>
          <w:b/>
          <w:bCs/>
        </w:rPr>
      </w:pPr>
    </w:p>
    <w:p w:rsidR="00F737C1" w:rsidRPr="00070E6B" w:rsidRDefault="00F737C1" w:rsidP="00344A5F">
      <w:pPr>
        <w:ind w:right="-720"/>
        <w:jc w:val="center"/>
        <w:outlineLvl w:val="0"/>
        <w:rPr>
          <w:b/>
          <w:bCs/>
        </w:rPr>
      </w:pPr>
    </w:p>
    <w:p w:rsidR="00F737C1" w:rsidRPr="00070E6B" w:rsidRDefault="00F737C1" w:rsidP="00344A5F">
      <w:pPr>
        <w:ind w:right="-720"/>
        <w:jc w:val="center"/>
        <w:outlineLvl w:val="0"/>
        <w:rPr>
          <w:b/>
          <w:bCs/>
        </w:rPr>
      </w:pPr>
    </w:p>
    <w:p w:rsidR="00F737C1" w:rsidRPr="00070E6B" w:rsidRDefault="00F737C1" w:rsidP="00344A5F">
      <w:pPr>
        <w:ind w:right="-720"/>
        <w:jc w:val="center"/>
        <w:outlineLvl w:val="0"/>
        <w:rPr>
          <w:b/>
          <w:bCs/>
        </w:rPr>
      </w:pPr>
    </w:p>
    <w:p w:rsidR="00F737C1" w:rsidRPr="00070E6B" w:rsidRDefault="00F737C1" w:rsidP="00344A5F">
      <w:pPr>
        <w:ind w:right="-720"/>
        <w:jc w:val="center"/>
        <w:outlineLvl w:val="0"/>
        <w:rPr>
          <w:b/>
          <w:bCs/>
        </w:rPr>
      </w:pPr>
    </w:p>
    <w:p w:rsidR="00F737C1" w:rsidRPr="00070E6B" w:rsidRDefault="00F737C1" w:rsidP="00344A5F">
      <w:pPr>
        <w:ind w:right="-720"/>
        <w:jc w:val="center"/>
        <w:outlineLvl w:val="0"/>
        <w:rPr>
          <w:b/>
          <w:bCs/>
        </w:rPr>
      </w:pPr>
    </w:p>
    <w:p w:rsidR="00F737C1" w:rsidRPr="00070E6B" w:rsidRDefault="00F737C1" w:rsidP="00344A5F">
      <w:pPr>
        <w:ind w:right="-720"/>
        <w:jc w:val="center"/>
        <w:outlineLvl w:val="0"/>
        <w:rPr>
          <w:b/>
          <w:bCs/>
        </w:rPr>
      </w:pPr>
    </w:p>
    <w:p w:rsidR="00F737C1" w:rsidRPr="00070E6B" w:rsidRDefault="00F737C1" w:rsidP="00344A5F">
      <w:pPr>
        <w:pStyle w:val="NormalWeb"/>
        <w:spacing w:before="0" w:beforeAutospacing="0" w:after="0" w:afterAutospacing="0"/>
        <w:ind w:left="360"/>
        <w:jc w:val="center"/>
        <w:outlineLvl w:val="0"/>
      </w:pPr>
    </w:p>
    <w:p w:rsidR="00F737C1" w:rsidRPr="00070E6B" w:rsidRDefault="00F737C1" w:rsidP="00344A5F">
      <w:pPr>
        <w:pStyle w:val="NormalWeb"/>
        <w:spacing w:before="0" w:beforeAutospacing="0" w:after="0" w:afterAutospacing="0"/>
        <w:ind w:left="360"/>
        <w:jc w:val="center"/>
        <w:outlineLvl w:val="0"/>
      </w:pPr>
    </w:p>
    <w:p w:rsidR="00F737C1" w:rsidRPr="00070E6B" w:rsidRDefault="00F737C1" w:rsidP="00344A5F">
      <w:pPr>
        <w:pStyle w:val="NormalWeb"/>
        <w:spacing w:before="0" w:beforeAutospacing="0" w:after="0" w:afterAutospacing="0"/>
        <w:ind w:left="360"/>
        <w:jc w:val="center"/>
        <w:outlineLvl w:val="0"/>
        <w:rPr>
          <w:b/>
        </w:rPr>
      </w:pPr>
      <w:smartTag w:uri="urn:schemas-microsoft-com:office:smarttags" w:element="PersonName">
        <w:smartTag w:uri="urn:schemas-microsoft-com:office:smarttags" w:element="place">
          <w:smartTag w:uri="urn:schemas-microsoft-com:office:smarttags" w:element="country-region">
            <w:r>
              <w:rPr>
                <w:b/>
              </w:rPr>
              <w:t>GRENADA</w:t>
            </w:r>
          </w:smartTag>
        </w:smartTag>
      </w:smartTag>
    </w:p>
    <w:p w:rsidR="00F737C1" w:rsidRPr="00070E6B" w:rsidRDefault="00F737C1" w:rsidP="00344A5F">
      <w:pPr>
        <w:pStyle w:val="NormalWeb"/>
        <w:spacing w:before="0" w:beforeAutospacing="0" w:after="0" w:afterAutospacing="0"/>
        <w:ind w:left="360"/>
        <w:jc w:val="center"/>
        <w:outlineLvl w:val="0"/>
        <w:rPr>
          <w:b/>
        </w:rPr>
      </w:pPr>
    </w:p>
    <w:p w:rsidR="00F737C1" w:rsidRPr="00070E6B" w:rsidRDefault="00F737C1" w:rsidP="00344A5F">
      <w:pPr>
        <w:jc w:val="center"/>
      </w:pPr>
      <w:r w:rsidRPr="00070E6B">
        <w:rPr>
          <w:b/>
        </w:rPr>
        <w:t>REPORT ON THE IMPLEMENTATION OF THE RECOMMENDATIONS FROM THE</w:t>
      </w:r>
      <w:r>
        <w:rPr>
          <w:b/>
        </w:rPr>
        <w:t xml:space="preserve"> CEVI</w:t>
      </w:r>
      <w:r w:rsidRPr="00070E6B">
        <w:rPr>
          <w:b/>
        </w:rPr>
        <w:t xml:space="preserve"> SECOND ROUND</w:t>
      </w:r>
    </w:p>
    <w:p w:rsidR="00F737C1" w:rsidRDefault="00F737C1" w:rsidP="00344A5F">
      <w:pPr>
        <w:spacing w:after="200"/>
        <w:jc w:val="center"/>
        <w:rPr>
          <w:b/>
          <w:caps/>
        </w:rPr>
      </w:pPr>
    </w:p>
    <w:p w:rsidR="00F737C1" w:rsidRDefault="00F737C1" w:rsidP="00344A5F">
      <w:pPr>
        <w:spacing w:after="200"/>
        <w:jc w:val="center"/>
        <w:rPr>
          <w:b/>
          <w:caps/>
        </w:rPr>
      </w:pPr>
    </w:p>
    <w:p w:rsidR="00F737C1" w:rsidRDefault="00F737C1" w:rsidP="00344A5F">
      <w:pPr>
        <w:spacing w:after="200"/>
        <w:jc w:val="center"/>
        <w:rPr>
          <w:b/>
          <w:caps/>
        </w:rPr>
      </w:pPr>
    </w:p>
    <w:p w:rsidR="00F737C1" w:rsidRDefault="00F737C1" w:rsidP="00344A5F">
      <w:pPr>
        <w:spacing w:after="200"/>
        <w:jc w:val="both"/>
        <w:rPr>
          <w:b/>
          <w:caps/>
        </w:rPr>
      </w:pPr>
    </w:p>
    <w:p w:rsidR="00F737C1" w:rsidRDefault="00F737C1" w:rsidP="00344A5F">
      <w:pPr>
        <w:spacing w:after="200"/>
        <w:jc w:val="both"/>
        <w:rPr>
          <w:b/>
          <w:caps/>
        </w:rPr>
      </w:pPr>
    </w:p>
    <w:p w:rsidR="00F737C1" w:rsidRDefault="00F737C1" w:rsidP="00344A5F">
      <w:pPr>
        <w:spacing w:after="200"/>
        <w:jc w:val="both"/>
        <w:rPr>
          <w:b/>
          <w:caps/>
        </w:rPr>
      </w:pPr>
    </w:p>
    <w:p w:rsidR="00F737C1" w:rsidRDefault="00F737C1" w:rsidP="00344A5F">
      <w:pPr>
        <w:spacing w:after="200"/>
        <w:jc w:val="both"/>
        <w:rPr>
          <w:b/>
          <w:caps/>
        </w:rPr>
      </w:pPr>
    </w:p>
    <w:p w:rsidR="00F737C1" w:rsidRPr="006927C9" w:rsidRDefault="00F737C1" w:rsidP="00344A5F">
      <w:pPr>
        <w:spacing w:after="200"/>
        <w:jc w:val="both"/>
        <w:rPr>
          <w:b/>
          <w:caps/>
        </w:rPr>
      </w:pPr>
    </w:p>
    <w:p w:rsidR="00F737C1" w:rsidRDefault="00F737C1" w:rsidP="00344A5F">
      <w:pPr>
        <w:spacing w:after="200"/>
        <w:jc w:val="both"/>
        <w:rPr>
          <w:b/>
          <w:caps/>
          <w:lang w:val="en-CA"/>
        </w:rPr>
      </w:pPr>
    </w:p>
    <w:p w:rsidR="009B36E0" w:rsidRDefault="009B36E0" w:rsidP="00344A5F">
      <w:pPr>
        <w:spacing w:after="200"/>
        <w:jc w:val="both"/>
        <w:rPr>
          <w:b/>
          <w:caps/>
          <w:lang w:val="en-CA"/>
        </w:rPr>
      </w:pPr>
    </w:p>
    <w:p w:rsidR="00F737C1" w:rsidRDefault="00F737C1" w:rsidP="00344A5F">
      <w:pPr>
        <w:ind w:left="720"/>
        <w:jc w:val="both"/>
        <w:rPr>
          <w:b/>
          <w:bCs/>
        </w:rPr>
      </w:pPr>
    </w:p>
    <w:p w:rsidR="00F737C1" w:rsidRDefault="00F737C1" w:rsidP="00344A5F">
      <w:pPr>
        <w:jc w:val="both"/>
        <w:rPr>
          <w:b/>
          <w:caps/>
          <w:lang w:val="en-CA"/>
        </w:rPr>
      </w:pPr>
    </w:p>
    <w:p w:rsidR="00F737C1" w:rsidRPr="00070E6B" w:rsidRDefault="00F737C1" w:rsidP="00344A5F">
      <w:pPr>
        <w:numPr>
          <w:ilvl w:val="0"/>
          <w:numId w:val="18"/>
        </w:numPr>
        <w:jc w:val="both"/>
        <w:rPr>
          <w:b/>
          <w:bCs/>
        </w:rPr>
      </w:pPr>
      <w:r w:rsidRPr="00070E6B">
        <w:rPr>
          <w:b/>
          <w:bCs/>
        </w:rPr>
        <w:t>Introduction</w:t>
      </w:r>
    </w:p>
    <w:p w:rsidR="00F737C1" w:rsidRPr="00344A5F" w:rsidRDefault="00F737C1" w:rsidP="00344A5F">
      <w:pPr>
        <w:jc w:val="both"/>
        <w:rPr>
          <w:b/>
          <w:caps/>
          <w:lang w:val="en-CA"/>
        </w:rPr>
      </w:pPr>
    </w:p>
    <w:p w:rsidR="00F737C1" w:rsidRPr="00344A5F" w:rsidRDefault="00F737C1" w:rsidP="00344A5F">
      <w:pPr>
        <w:numPr>
          <w:ilvl w:val="0"/>
          <w:numId w:val="23"/>
        </w:numPr>
        <w:jc w:val="both"/>
        <w:rPr>
          <w:b/>
          <w:caps/>
          <w:lang w:val="en-CA"/>
        </w:rPr>
      </w:pPr>
      <w:r w:rsidRPr="0011626D">
        <w:t xml:space="preserve">The Inter-American Convention on the Prevention, Punishment and Eradication of Violence against Women, the “Convention of </w:t>
      </w:r>
      <w:smartTag w:uri="urn:schemas-microsoft-com:office:smarttags" w:element="City">
        <w:r w:rsidRPr="0011626D">
          <w:t>Belem</w:t>
        </w:r>
      </w:smartTag>
      <w:r w:rsidRPr="0011626D">
        <w:t xml:space="preserve"> do </w:t>
      </w:r>
      <w:smartTag w:uri="urn:schemas-microsoft-com:office:smarttags" w:element="place">
        <w:r w:rsidRPr="0011626D">
          <w:t>Para</w:t>
        </w:r>
      </w:smartTag>
      <w:r w:rsidRPr="0011626D">
        <w:t>”</w:t>
      </w:r>
      <w:r>
        <w:t xml:space="preserve"> (</w:t>
      </w:r>
      <w:r w:rsidRPr="0011626D">
        <w:t>The Convention</w:t>
      </w:r>
      <w:r>
        <w:t>)</w:t>
      </w:r>
      <w:r w:rsidRPr="0011626D">
        <w:t>, was adopted on 9</w:t>
      </w:r>
      <w:r w:rsidRPr="0011626D">
        <w:rPr>
          <w:vertAlign w:val="superscript"/>
        </w:rPr>
        <w:t>th</w:t>
      </w:r>
      <w:r w:rsidRPr="0011626D">
        <w:t xml:space="preserve"> June, 1994 and came into effect on March 05</w:t>
      </w:r>
      <w:r w:rsidRPr="0011626D">
        <w:rPr>
          <w:vertAlign w:val="superscript"/>
        </w:rPr>
        <w:t>th</w:t>
      </w:r>
      <w:r w:rsidRPr="0011626D">
        <w:t>, 1995. The Convention is the standard against which member states’ obligation to protect women’s human rights and eliminate conditions that permit acts of violence against women is judged.</w:t>
      </w:r>
      <w:r w:rsidRPr="0011626D">
        <w:rPr>
          <w:lang w:val="en-CA"/>
        </w:rPr>
        <w:t xml:space="preserve"> Since</w:t>
      </w:r>
      <w:r w:rsidRPr="0011626D">
        <w:t xml:space="preserve"> the coming into force of the Convention (1995-2014), and the establishment of MESECVI in 200</w:t>
      </w:r>
      <w:r>
        <w:t>4</w:t>
      </w:r>
      <w:r w:rsidRPr="0011626D">
        <w:t xml:space="preserve">, the </w:t>
      </w:r>
      <w:r w:rsidRPr="0011626D">
        <w:rPr>
          <w:lang w:val="en-CA"/>
        </w:rPr>
        <w:t>first and second evaluation rounds held in 2005-2008 and 2009-2013 respectively,</w:t>
      </w:r>
      <w:r w:rsidRPr="0011626D">
        <w:t xml:space="preserve"> have </w:t>
      </w:r>
      <w:r w:rsidRPr="00344A5F">
        <w:t>concluded.</w:t>
      </w:r>
    </w:p>
    <w:p w:rsidR="00F737C1" w:rsidRPr="00344A5F" w:rsidRDefault="00F737C1" w:rsidP="00344A5F">
      <w:pPr>
        <w:jc w:val="both"/>
        <w:rPr>
          <w:b/>
          <w:caps/>
          <w:lang w:val="en-CA"/>
        </w:rPr>
      </w:pPr>
    </w:p>
    <w:p w:rsidR="00F737C1" w:rsidRDefault="00F737C1" w:rsidP="00344A5F">
      <w:pPr>
        <w:numPr>
          <w:ilvl w:val="0"/>
          <w:numId w:val="23"/>
        </w:numPr>
        <w:jc w:val="both"/>
        <w:rPr>
          <w:b/>
          <w:caps/>
          <w:lang w:val="en-CA"/>
        </w:rPr>
      </w:pPr>
      <w:smartTag w:uri="urn:schemas-microsoft-com:office:smarttags" w:element="country-region">
        <w:smartTag w:uri="urn:schemas-microsoft-com:office:smarttags" w:element="place">
          <w:r w:rsidRPr="0011626D">
            <w:rPr>
              <w:lang w:val="en-CA"/>
            </w:rPr>
            <w:t>Grenada</w:t>
          </w:r>
        </w:smartTag>
      </w:smartTag>
      <w:r w:rsidRPr="0011626D">
        <w:rPr>
          <w:lang w:val="en-CA"/>
        </w:rPr>
        <w:t xml:space="preserve"> ratified the Convention </w:t>
      </w:r>
      <w:r w:rsidRPr="00A81EFE">
        <w:rPr>
          <w:lang w:val="en-CA"/>
        </w:rPr>
        <w:t>on February 15, 2001</w:t>
      </w:r>
      <w:r>
        <w:rPr>
          <w:rStyle w:val="FootnoteReference"/>
          <w:lang w:val="en-CA"/>
        </w:rPr>
        <w:footnoteReference w:id="2"/>
      </w:r>
      <w:r w:rsidRPr="00A81EFE">
        <w:rPr>
          <w:lang w:val="en-CA"/>
        </w:rPr>
        <w:t>.</w:t>
      </w:r>
      <w:r w:rsidRPr="0011626D">
        <w:rPr>
          <w:lang w:val="en-CA"/>
        </w:rPr>
        <w:t xml:space="preserve"> The record shows that </w:t>
      </w:r>
      <w:smartTag w:uri="urn:schemas-microsoft-com:office:smarttags" w:element="place">
        <w:smartTag w:uri="urn:schemas-microsoft-com:office:smarttags" w:element="country-region">
          <w:r w:rsidRPr="0011626D">
            <w:t>Grenada</w:t>
          </w:r>
        </w:smartTag>
      </w:smartTag>
      <w:r w:rsidRPr="0011626D">
        <w:t xml:space="preserve"> </w:t>
      </w:r>
      <w:r w:rsidRPr="0011626D">
        <w:rPr>
          <w:lang w:val="en-CA"/>
        </w:rPr>
        <w:t xml:space="preserve">did not participate in the two evaluation rounds and </w:t>
      </w:r>
      <w:r w:rsidRPr="0011626D">
        <w:t>has not responded to the questionnaires that sought to solicit information that would or intended to determine the extent to which it has complied with its obligations under the Convention.</w:t>
      </w:r>
    </w:p>
    <w:p w:rsidR="00F737C1" w:rsidRDefault="00F737C1" w:rsidP="00344A5F">
      <w:pPr>
        <w:jc w:val="both"/>
        <w:rPr>
          <w:lang w:val="en-CA"/>
        </w:rPr>
      </w:pPr>
    </w:p>
    <w:p w:rsidR="00F737C1" w:rsidRPr="00344A5F" w:rsidRDefault="00F737C1" w:rsidP="00344A5F">
      <w:pPr>
        <w:numPr>
          <w:ilvl w:val="0"/>
          <w:numId w:val="23"/>
        </w:numPr>
        <w:jc w:val="both"/>
        <w:rPr>
          <w:b/>
          <w:caps/>
          <w:lang w:val="en-CA"/>
        </w:rPr>
      </w:pPr>
      <w:r w:rsidRPr="0011626D">
        <w:rPr>
          <w:lang w:val="en-CA"/>
        </w:rPr>
        <w:t xml:space="preserve">This Report </w:t>
      </w:r>
      <w:r>
        <w:rPr>
          <w:lang w:val="en-CA"/>
        </w:rPr>
        <w:t xml:space="preserve">identifies the main advances made by </w:t>
      </w:r>
      <w:smartTag w:uri="urn:schemas-microsoft-com:office:smarttags" w:element="place">
        <w:smartTag w:uri="urn:schemas-microsoft-com:office:smarttags" w:element="country-region">
          <w:r>
            <w:rPr>
              <w:lang w:val="en-CA"/>
            </w:rPr>
            <w:t>Grenada</w:t>
          </w:r>
        </w:smartTag>
      </w:smartTag>
      <w:r>
        <w:rPr>
          <w:lang w:val="en-CA"/>
        </w:rPr>
        <w:t xml:space="preserve"> since April 2012. It also </w:t>
      </w:r>
      <w:r w:rsidRPr="0011626D">
        <w:rPr>
          <w:lang w:val="en-CA"/>
        </w:rPr>
        <w:t xml:space="preserve">seeks to review the information provided by </w:t>
      </w:r>
      <w:r>
        <w:rPr>
          <w:lang w:val="en-CA"/>
        </w:rPr>
        <w:t xml:space="preserve">that country in response to </w:t>
      </w:r>
      <w:r w:rsidRPr="0011626D">
        <w:rPr>
          <w:lang w:val="en-CA"/>
        </w:rPr>
        <w:t xml:space="preserve">the </w:t>
      </w:r>
      <w:r>
        <w:rPr>
          <w:lang w:val="en-CA"/>
        </w:rPr>
        <w:t xml:space="preserve">42 indicators recommended by </w:t>
      </w:r>
      <w:r w:rsidRPr="0011626D">
        <w:rPr>
          <w:lang w:val="en-CA"/>
        </w:rPr>
        <w:t xml:space="preserve">the Committee of Experts (CEVI) of the Follow </w:t>
      </w:r>
      <w:proofErr w:type="gramStart"/>
      <w:r w:rsidRPr="0011626D">
        <w:rPr>
          <w:lang w:val="en-CA"/>
        </w:rPr>
        <w:t>Up</w:t>
      </w:r>
      <w:proofErr w:type="gramEnd"/>
      <w:r w:rsidRPr="0011626D">
        <w:rPr>
          <w:lang w:val="en-CA"/>
        </w:rPr>
        <w:t xml:space="preserve"> Mechanism to the inter-American Convention on the Prevention, Punishment and Eradication of Violence Against Women to the States Party</w:t>
      </w:r>
      <w:r>
        <w:rPr>
          <w:lang w:val="en-CA"/>
        </w:rPr>
        <w:t xml:space="preserve">. The </w:t>
      </w:r>
      <w:r w:rsidRPr="0011626D" w:rsidDel="00C110F4">
        <w:rPr>
          <w:lang w:val="en-CA"/>
        </w:rPr>
        <w:t xml:space="preserve"> </w:t>
      </w:r>
      <w:r w:rsidRPr="0011626D">
        <w:rPr>
          <w:lang w:val="en-CA"/>
        </w:rPr>
        <w:t xml:space="preserve"> indicators</w:t>
      </w:r>
      <w:r>
        <w:rPr>
          <w:lang w:val="en-CA"/>
        </w:rPr>
        <w:t xml:space="preserve"> are</w:t>
      </w:r>
      <w:r w:rsidRPr="0011626D">
        <w:rPr>
          <w:lang w:val="en-CA"/>
        </w:rPr>
        <w:t xml:space="preserve"> designed to measure the progress on the right of women to live without violence based on the list of topics prioritized by MESECVI as follows:  </w:t>
      </w:r>
    </w:p>
    <w:p w:rsidR="00F737C1" w:rsidRDefault="00F737C1" w:rsidP="00344A5F">
      <w:pPr>
        <w:jc w:val="both"/>
        <w:rPr>
          <w:b/>
          <w:caps/>
          <w:lang w:val="en-CA"/>
        </w:rPr>
      </w:pPr>
    </w:p>
    <w:p w:rsidR="00F737C1" w:rsidRPr="0011626D" w:rsidRDefault="00F737C1" w:rsidP="00344A5F">
      <w:pPr>
        <w:pStyle w:val="NormalWeb"/>
        <w:numPr>
          <w:ilvl w:val="0"/>
          <w:numId w:val="14"/>
        </w:numPr>
        <w:spacing w:after="120" w:afterAutospacing="0"/>
        <w:ind w:left="720"/>
        <w:jc w:val="both"/>
        <w:rPr>
          <w:lang w:val="en-CA"/>
        </w:rPr>
      </w:pPr>
      <w:r w:rsidRPr="0011626D">
        <w:rPr>
          <w:lang w:val="en-CA"/>
        </w:rPr>
        <w:t>Legislation</w:t>
      </w:r>
    </w:p>
    <w:p w:rsidR="00F737C1" w:rsidRPr="0011626D" w:rsidRDefault="00F737C1" w:rsidP="00344A5F">
      <w:pPr>
        <w:pStyle w:val="NormalWeb"/>
        <w:numPr>
          <w:ilvl w:val="0"/>
          <w:numId w:val="14"/>
        </w:numPr>
        <w:spacing w:after="120" w:afterAutospacing="0"/>
        <w:ind w:left="720"/>
        <w:jc w:val="both"/>
        <w:rPr>
          <w:lang w:val="en-CA"/>
        </w:rPr>
      </w:pPr>
      <w:r w:rsidRPr="0011626D">
        <w:rPr>
          <w:lang w:val="en-CA"/>
        </w:rPr>
        <w:t>National Plans</w:t>
      </w:r>
    </w:p>
    <w:p w:rsidR="00F737C1" w:rsidRPr="0011626D" w:rsidRDefault="00F737C1" w:rsidP="00344A5F">
      <w:pPr>
        <w:pStyle w:val="NormalWeb"/>
        <w:numPr>
          <w:ilvl w:val="0"/>
          <w:numId w:val="14"/>
        </w:numPr>
        <w:spacing w:after="120" w:afterAutospacing="0"/>
        <w:ind w:left="720"/>
        <w:jc w:val="both"/>
        <w:rPr>
          <w:lang w:val="en-CA"/>
        </w:rPr>
      </w:pPr>
      <w:r w:rsidRPr="0011626D">
        <w:rPr>
          <w:lang w:val="en-CA"/>
        </w:rPr>
        <w:t>Access to Justice</w:t>
      </w:r>
    </w:p>
    <w:p w:rsidR="00F737C1" w:rsidRPr="0011626D" w:rsidRDefault="00F737C1" w:rsidP="00344A5F">
      <w:pPr>
        <w:pStyle w:val="NormalWeb"/>
        <w:numPr>
          <w:ilvl w:val="0"/>
          <w:numId w:val="14"/>
        </w:numPr>
        <w:spacing w:after="120" w:afterAutospacing="0"/>
        <w:ind w:left="720"/>
        <w:jc w:val="both"/>
        <w:rPr>
          <w:lang w:val="en-CA"/>
        </w:rPr>
      </w:pPr>
      <w:r w:rsidRPr="0011626D">
        <w:rPr>
          <w:lang w:val="en-CA"/>
        </w:rPr>
        <w:t>Information and statistics</w:t>
      </w:r>
    </w:p>
    <w:p w:rsidR="00F737C1" w:rsidRPr="0011626D" w:rsidRDefault="00F737C1" w:rsidP="00344A5F">
      <w:pPr>
        <w:pStyle w:val="NormalWeb"/>
        <w:numPr>
          <w:ilvl w:val="0"/>
          <w:numId w:val="14"/>
        </w:numPr>
        <w:spacing w:after="120" w:afterAutospacing="0"/>
        <w:ind w:left="720"/>
        <w:jc w:val="both"/>
        <w:rPr>
          <w:lang w:val="en-CA"/>
        </w:rPr>
      </w:pPr>
      <w:r w:rsidRPr="0011626D">
        <w:rPr>
          <w:lang w:val="en-CA"/>
        </w:rPr>
        <w:t>Diversity</w:t>
      </w:r>
    </w:p>
    <w:p w:rsidR="00F737C1" w:rsidRPr="0011626D" w:rsidRDefault="00F737C1" w:rsidP="00344A5F">
      <w:pPr>
        <w:pStyle w:val="ListParagraph"/>
        <w:numPr>
          <w:ilvl w:val="0"/>
          <w:numId w:val="7"/>
        </w:numPr>
        <w:spacing w:before="720"/>
        <w:ind w:left="432"/>
        <w:jc w:val="both"/>
        <w:rPr>
          <w:b/>
          <w:lang w:val="en-CA"/>
        </w:rPr>
      </w:pPr>
      <w:smartTag w:uri="urn:schemas-microsoft-com:office:smarttags" w:element="PersonName">
        <w:smartTag w:uri="urn:schemas-microsoft-com:office:smarttags" w:element="country-region">
          <w:smartTag w:uri="urn:schemas-microsoft-com:office:smarttags" w:element="place">
            <w:r w:rsidRPr="0011626D">
              <w:rPr>
                <w:b/>
                <w:lang w:val="en-CA"/>
              </w:rPr>
              <w:t>GRENADA</w:t>
            </w:r>
          </w:smartTag>
        </w:smartTag>
      </w:smartTag>
      <w:r w:rsidRPr="0011626D">
        <w:rPr>
          <w:b/>
          <w:lang w:val="en-CA"/>
        </w:rPr>
        <w:t>’S DESCRIPTION</w:t>
      </w:r>
      <w:r>
        <w:rPr>
          <w:b/>
          <w:lang w:val="en-CA"/>
        </w:rPr>
        <w:t>.</w:t>
      </w:r>
      <w:r w:rsidRPr="0011626D">
        <w:rPr>
          <w:b/>
          <w:lang w:val="en-CA"/>
        </w:rPr>
        <w:t xml:space="preserve"> </w:t>
      </w:r>
    </w:p>
    <w:p w:rsidR="00F737C1" w:rsidRDefault="00F737C1" w:rsidP="00344A5F">
      <w:pPr>
        <w:jc w:val="both"/>
        <w:rPr>
          <w:lang w:val="en-CA"/>
        </w:rPr>
      </w:pPr>
    </w:p>
    <w:p w:rsidR="00F737C1" w:rsidRDefault="00F737C1" w:rsidP="00344A5F">
      <w:pPr>
        <w:numPr>
          <w:ilvl w:val="0"/>
          <w:numId w:val="23"/>
        </w:numPr>
        <w:jc w:val="both"/>
        <w:rPr>
          <w:b/>
          <w:caps/>
          <w:lang w:val="en-CA"/>
        </w:rPr>
      </w:pPr>
      <w:smartTag w:uri="urn:schemas-microsoft-com:office:smarttags" w:element="country-region">
        <w:r w:rsidRPr="0011626D">
          <w:rPr>
            <w:lang w:val="en-CA"/>
          </w:rPr>
          <w:t>Grenada</w:t>
        </w:r>
      </w:smartTag>
      <w:r w:rsidRPr="0011626D">
        <w:rPr>
          <w:lang w:val="en-CA"/>
        </w:rPr>
        <w:t xml:space="preserve"> is a multi-island state of </w:t>
      </w:r>
      <w:r>
        <w:rPr>
          <w:lang w:val="en-CA"/>
        </w:rPr>
        <w:t>133</w:t>
      </w:r>
      <w:r w:rsidRPr="0011626D">
        <w:rPr>
          <w:lang w:val="en-CA"/>
        </w:rPr>
        <w:t xml:space="preserve"> square miles in the south of the </w:t>
      </w:r>
      <w:smartTag w:uri="urn:schemas-microsoft-com:office:smarttags" w:element="place">
        <w:r w:rsidRPr="0011626D">
          <w:rPr>
            <w:lang w:val="en-CA"/>
          </w:rPr>
          <w:t>Caribbean</w:t>
        </w:r>
      </w:smartTag>
      <w:r w:rsidRPr="0011626D">
        <w:rPr>
          <w:lang w:val="en-CA"/>
        </w:rPr>
        <w:t xml:space="preserve"> archipelago. It is located southwest of </w:t>
      </w:r>
      <w:smartTag w:uri="urn:schemas-microsoft-com:office:smarttags" w:element="PersonName">
        <w:smartTag w:uri="urn:schemas-microsoft-com:office:smarttags" w:element="country-region">
          <w:r w:rsidRPr="0011626D">
            <w:rPr>
              <w:lang w:val="en-CA"/>
            </w:rPr>
            <w:t>St. Vincent and the Grenadines</w:t>
          </w:r>
        </w:smartTag>
      </w:smartTag>
      <w:r w:rsidRPr="0011626D">
        <w:rPr>
          <w:lang w:val="en-CA"/>
        </w:rPr>
        <w:t xml:space="preserve"> and northwest of </w:t>
      </w:r>
      <w:smartTag w:uri="urn:schemas-microsoft-com:office:smarttags" w:element="PersonName">
        <w:smartTag w:uri="urn:schemas-microsoft-com:office:smarttags" w:element="place">
          <w:smartTag w:uri="urn:schemas-microsoft-com:office:smarttags" w:element="country-region">
            <w:r w:rsidRPr="0011626D">
              <w:rPr>
                <w:lang w:val="en-CA"/>
              </w:rPr>
              <w:t>Trinidad and Tobago</w:t>
            </w:r>
          </w:smartTag>
        </w:smartTag>
      </w:smartTag>
      <w:r w:rsidRPr="0011626D">
        <w:rPr>
          <w:lang w:val="en-CA"/>
        </w:rPr>
        <w:t xml:space="preserve">. It is a small developing state within the </w:t>
      </w:r>
      <w:smartTag w:uri="urn:schemas-microsoft-com:office:smarttags" w:element="PersonName">
        <w:smartTag w:uri="urn:schemas-microsoft-com:office:smarttags" w:element="place">
          <w:r w:rsidRPr="0011626D">
            <w:rPr>
              <w:lang w:val="en-CA"/>
            </w:rPr>
            <w:t>Windward Islands</w:t>
          </w:r>
        </w:smartTag>
      </w:smartTag>
      <w:r w:rsidRPr="0011626D">
        <w:rPr>
          <w:lang w:val="en-CA"/>
        </w:rPr>
        <w:t xml:space="preserve"> and has </w:t>
      </w:r>
      <w:r w:rsidRPr="0011626D">
        <w:rPr>
          <w:lang w:val="en-CA"/>
        </w:rPr>
        <w:lastRenderedPageBreak/>
        <w:t xml:space="preserve">membership in the Organization of the Eastern Caribbean States (OECS) and the Caribbean Community (CARICOM).   </w:t>
      </w:r>
    </w:p>
    <w:p w:rsidR="00F737C1" w:rsidRDefault="00F737C1" w:rsidP="00344A5F">
      <w:pPr>
        <w:numPr>
          <w:ilvl w:val="0"/>
          <w:numId w:val="23"/>
        </w:numPr>
        <w:jc w:val="both"/>
        <w:rPr>
          <w:b/>
          <w:caps/>
          <w:lang w:val="en-CA"/>
        </w:rPr>
      </w:pPr>
      <w:smartTag w:uri="urn:schemas-microsoft-com:office:smarttags" w:element="country-region">
        <w:r w:rsidRPr="0011626D">
          <w:rPr>
            <w:lang w:val="en-CA"/>
          </w:rPr>
          <w:t>Grenada</w:t>
        </w:r>
      </w:smartTag>
      <w:r w:rsidRPr="0011626D">
        <w:rPr>
          <w:lang w:val="en-CA"/>
        </w:rPr>
        <w:t xml:space="preserve"> was colonized by both </w:t>
      </w:r>
      <w:smartTag w:uri="urn:schemas-microsoft-com:office:smarttags" w:element="country-region">
        <w:r w:rsidRPr="0011626D">
          <w:rPr>
            <w:lang w:val="en-CA"/>
          </w:rPr>
          <w:t>France</w:t>
        </w:r>
      </w:smartTag>
      <w:r w:rsidRPr="0011626D">
        <w:rPr>
          <w:lang w:val="en-CA"/>
        </w:rPr>
        <w:t xml:space="preserve"> and </w:t>
      </w:r>
      <w:smartTag w:uri="urn:schemas-microsoft-com:office:smarttags" w:element="country-region">
        <w:r w:rsidRPr="0011626D">
          <w:rPr>
            <w:lang w:val="en-CA"/>
          </w:rPr>
          <w:t>Britain</w:t>
        </w:r>
      </w:smartTag>
      <w:r w:rsidRPr="0011626D">
        <w:rPr>
          <w:lang w:val="en-CA"/>
        </w:rPr>
        <w:t xml:space="preserve"> but was ceded to </w:t>
      </w:r>
      <w:smartTag w:uri="urn:schemas-microsoft-com:office:smarttags" w:element="place">
        <w:smartTag w:uri="urn:schemas-microsoft-com:office:smarttags" w:element="country-region">
          <w:r w:rsidRPr="0011626D">
            <w:rPr>
              <w:lang w:val="en-CA"/>
            </w:rPr>
            <w:t>Britain</w:t>
          </w:r>
        </w:smartTag>
      </w:smartTag>
      <w:r w:rsidRPr="0011626D">
        <w:rPr>
          <w:lang w:val="en-CA"/>
        </w:rPr>
        <w:t xml:space="preserve"> 1783. In 1877 it became a Crown Colony, a status that lasted until 1967 when </w:t>
      </w:r>
      <w:smartTag w:uri="urn:schemas-microsoft-com:office:smarttags" w:element="country-region">
        <w:r w:rsidRPr="0011626D">
          <w:rPr>
            <w:lang w:val="en-CA"/>
          </w:rPr>
          <w:t>Grenada</w:t>
        </w:r>
      </w:smartTag>
      <w:r w:rsidRPr="0011626D">
        <w:rPr>
          <w:lang w:val="en-CA"/>
        </w:rPr>
        <w:t xml:space="preserve"> attained Associate Statehood within the </w:t>
      </w:r>
      <w:smartTag w:uri="urn:schemas-microsoft-com:office:smarttags" w:element="place">
        <w:r w:rsidRPr="0011626D">
          <w:rPr>
            <w:lang w:val="en-CA"/>
          </w:rPr>
          <w:t>British Commonwealth</w:t>
        </w:r>
      </w:smartTag>
      <w:r w:rsidRPr="0011626D">
        <w:rPr>
          <w:lang w:val="en-CA"/>
        </w:rPr>
        <w:t xml:space="preserve"> and then full independence in 1974</w:t>
      </w:r>
      <w:r>
        <w:rPr>
          <w:rStyle w:val="FootnoteReference"/>
          <w:lang w:val="en-CA"/>
        </w:rPr>
        <w:footnoteReference w:id="3"/>
      </w:r>
      <w:r>
        <w:rPr>
          <w:lang w:val="en-CA"/>
        </w:rPr>
        <w:t>.</w:t>
      </w:r>
    </w:p>
    <w:p w:rsidR="00F737C1" w:rsidRDefault="00F737C1" w:rsidP="00344A5F">
      <w:pPr>
        <w:jc w:val="both"/>
        <w:rPr>
          <w:b/>
          <w:caps/>
          <w:lang w:val="en-CA"/>
        </w:rPr>
      </w:pPr>
    </w:p>
    <w:p w:rsidR="00F737C1" w:rsidRDefault="00F737C1" w:rsidP="00344A5F">
      <w:pPr>
        <w:numPr>
          <w:ilvl w:val="0"/>
          <w:numId w:val="23"/>
        </w:numPr>
        <w:jc w:val="both"/>
        <w:rPr>
          <w:b/>
          <w:caps/>
          <w:lang w:val="en-CA"/>
        </w:rPr>
      </w:pPr>
      <w:r w:rsidRPr="0011626D">
        <w:rPr>
          <w:lang w:val="en-CA"/>
        </w:rPr>
        <w:t xml:space="preserve">The influence of European colonization on </w:t>
      </w:r>
      <w:smartTag w:uri="urn:schemas-microsoft-com:office:smarttags" w:element="country-region">
        <w:smartTag w:uri="urn:schemas-microsoft-com:office:smarttags" w:element="place">
          <w:r w:rsidRPr="0011626D">
            <w:rPr>
              <w:lang w:val="en-CA"/>
            </w:rPr>
            <w:t>Grenada</w:t>
          </w:r>
        </w:smartTag>
      </w:smartTag>
      <w:r w:rsidRPr="0011626D">
        <w:rPr>
          <w:lang w:val="en-CA"/>
        </w:rPr>
        <w:t xml:space="preserve">’s language and culture is visible. The official language is English but Grenadians speak an English based – Creole and a Grenadian Creole- French/Patois. Much of </w:t>
      </w:r>
      <w:smartTag w:uri="urn:schemas-microsoft-com:office:smarttags" w:element="PersonName">
        <w:smartTag w:uri="urn:schemas-microsoft-com:office:smarttags" w:element="place">
          <w:smartTag w:uri="urn:schemas-microsoft-com:office:smarttags" w:element="country-region">
            <w:r w:rsidRPr="0011626D">
              <w:rPr>
                <w:lang w:val="en-CA"/>
              </w:rPr>
              <w:t>Grenada</w:t>
            </w:r>
          </w:smartTag>
        </w:smartTag>
      </w:smartTag>
      <w:r w:rsidRPr="0011626D">
        <w:rPr>
          <w:lang w:val="en-CA"/>
        </w:rPr>
        <w:t xml:space="preserve">’s development and institutions are also modelled from the British; these include its education and legal systems. </w:t>
      </w:r>
      <w:smartTag w:uri="urn:schemas-microsoft-com:office:smarttags" w:element="PersonName">
        <w:smartTag w:uri="urn:schemas-microsoft-com:office:smarttags" w:element="country-region">
          <w:r w:rsidRPr="0011626D">
            <w:rPr>
              <w:lang w:val="en-CA"/>
            </w:rPr>
            <w:t>Grenada</w:t>
          </w:r>
        </w:smartTag>
      </w:smartTag>
      <w:r w:rsidRPr="0011626D">
        <w:rPr>
          <w:lang w:val="en-CA"/>
        </w:rPr>
        <w:t xml:space="preserve"> is a parliamentary democracy based on the </w:t>
      </w:r>
      <w:smartTag w:uri="urn:schemas-microsoft-com:office:smarttags" w:element="PersonName">
        <w:smartTag w:uri="urn:schemas-microsoft-com:office:smarttags" w:element="City">
          <w:smartTag w:uri="urn:schemas-microsoft-com:office:smarttags" w:element="place">
            <w:r w:rsidRPr="0011626D">
              <w:rPr>
                <w:lang w:val="en-CA"/>
              </w:rPr>
              <w:t>Westminster</w:t>
            </w:r>
          </w:smartTag>
        </w:smartTag>
      </w:smartTag>
      <w:r w:rsidRPr="0011626D">
        <w:rPr>
          <w:lang w:val="en-CA"/>
        </w:rPr>
        <w:t xml:space="preserve"> model</w:t>
      </w:r>
      <w:r>
        <w:rPr>
          <w:rStyle w:val="FootnoteReference"/>
          <w:lang w:val="en-CA"/>
        </w:rPr>
        <w:footnoteReference w:id="4"/>
      </w:r>
      <w:r w:rsidRPr="0011626D">
        <w:rPr>
          <w:lang w:val="en-CA"/>
        </w:rPr>
        <w:t xml:space="preserve">. </w:t>
      </w:r>
    </w:p>
    <w:p w:rsidR="00F737C1" w:rsidRDefault="00F737C1" w:rsidP="00344A5F">
      <w:pPr>
        <w:jc w:val="both"/>
        <w:rPr>
          <w:lang w:val="en-CA"/>
        </w:rPr>
      </w:pPr>
    </w:p>
    <w:p w:rsidR="00F737C1" w:rsidRPr="00344A5F" w:rsidRDefault="00F737C1" w:rsidP="00344A5F">
      <w:pPr>
        <w:numPr>
          <w:ilvl w:val="0"/>
          <w:numId w:val="23"/>
        </w:numPr>
        <w:jc w:val="both"/>
        <w:rPr>
          <w:b/>
          <w:caps/>
          <w:lang w:val="en-CA"/>
        </w:rPr>
      </w:pPr>
      <w:smartTag w:uri="urn:schemas-microsoft-com:office:smarttags" w:element="place">
        <w:smartTag w:uri="urn:schemas-microsoft-com:office:smarttags" w:element="country-region">
          <w:r w:rsidRPr="0011626D">
            <w:rPr>
              <w:lang w:val="en-CA"/>
            </w:rPr>
            <w:t>Grenada</w:t>
          </w:r>
        </w:smartTag>
      </w:smartTag>
      <w:r w:rsidRPr="0011626D">
        <w:rPr>
          <w:lang w:val="en-CA"/>
        </w:rPr>
        <w:t xml:space="preserve"> has a population of 110,152 (July 2014 </w:t>
      </w:r>
      <w:proofErr w:type="gramStart"/>
      <w:r w:rsidRPr="0011626D">
        <w:rPr>
          <w:lang w:val="en-CA"/>
        </w:rPr>
        <w:t>est</w:t>
      </w:r>
      <w:proofErr w:type="gramEnd"/>
      <w:r w:rsidRPr="0011626D">
        <w:rPr>
          <w:lang w:val="en-CA"/>
        </w:rPr>
        <w:t>.).</w:t>
      </w:r>
      <w:r w:rsidRPr="0011626D">
        <w:rPr>
          <w:color w:val="FF0000"/>
          <w:lang w:val="en-CA"/>
        </w:rPr>
        <w:t xml:space="preserve"> </w:t>
      </w:r>
      <w:r w:rsidRPr="0011626D">
        <w:rPr>
          <w:lang w:val="en-CA"/>
        </w:rPr>
        <w:t xml:space="preserve">Today, people of African descent make up 82% of the population. The remaining 18% of the population has an ethic composition: mixed European and African (black) the so called mulatto representing 13%, European and East Indian 5 % and traces of </w:t>
      </w:r>
      <w:proofErr w:type="spellStart"/>
      <w:r w:rsidRPr="0011626D">
        <w:rPr>
          <w:lang w:val="en-CA"/>
        </w:rPr>
        <w:t>Arawak/Caribs</w:t>
      </w:r>
      <w:proofErr w:type="spellEnd"/>
      <w:r w:rsidRPr="0011626D">
        <w:rPr>
          <w:lang w:val="en-CA"/>
        </w:rPr>
        <w:t>. 50% of this population is below the age of 30 years</w:t>
      </w:r>
      <w:r w:rsidRPr="0011626D">
        <w:rPr>
          <w:rStyle w:val="FootnoteReference"/>
          <w:lang w:val="en-CA"/>
        </w:rPr>
        <w:footnoteReference w:id="5"/>
      </w:r>
      <w:r w:rsidRPr="0011626D">
        <w:rPr>
          <w:lang w:val="en-CA"/>
        </w:rPr>
        <w:t>.</w:t>
      </w:r>
    </w:p>
    <w:p w:rsidR="00F737C1" w:rsidRPr="0011626D" w:rsidRDefault="00F737C1" w:rsidP="00344A5F">
      <w:pPr>
        <w:pStyle w:val="NormalWeb"/>
        <w:jc w:val="both"/>
        <w:rPr>
          <w:b/>
          <w:lang w:val="en-CA"/>
        </w:rPr>
      </w:pPr>
      <w:r w:rsidRPr="0011626D">
        <w:rPr>
          <w:b/>
        </w:rPr>
        <w:t xml:space="preserve">B.  </w:t>
      </w:r>
      <w:r w:rsidRPr="0011626D">
        <w:rPr>
          <w:b/>
          <w:lang w:val="en-CA"/>
        </w:rPr>
        <w:t>ANALYSIS</w:t>
      </w:r>
      <w:r>
        <w:rPr>
          <w:b/>
          <w:lang w:val="en-CA"/>
        </w:rPr>
        <w:t>.</w:t>
      </w:r>
    </w:p>
    <w:p w:rsidR="00F737C1" w:rsidRDefault="00F737C1" w:rsidP="00344A5F">
      <w:pPr>
        <w:jc w:val="both"/>
        <w:rPr>
          <w:b/>
          <w:caps/>
          <w:lang w:val="en-CA"/>
        </w:rPr>
      </w:pPr>
      <w:r w:rsidRPr="0011626D">
        <w:rPr>
          <w:b/>
        </w:rPr>
        <w:t xml:space="preserve">Overview of the Main Advances Achieved by </w:t>
      </w:r>
      <w:smartTag w:uri="urn:schemas-microsoft-com:office:smarttags" w:element="PersonName">
        <w:smartTag w:uri="urn:schemas-microsoft-com:office:smarttags" w:element="country-region">
          <w:smartTag w:uri="urn:schemas-microsoft-com:office:smarttags" w:element="place">
            <w:r w:rsidRPr="0011626D">
              <w:rPr>
                <w:b/>
              </w:rPr>
              <w:t>Grenada</w:t>
            </w:r>
          </w:smartTag>
        </w:smartTag>
      </w:smartTag>
      <w:r w:rsidRPr="0011626D">
        <w:rPr>
          <w:b/>
        </w:rPr>
        <w:t xml:space="preserve"> </w:t>
      </w:r>
      <w:proofErr w:type="gramStart"/>
      <w:r w:rsidRPr="0011626D">
        <w:rPr>
          <w:b/>
        </w:rPr>
        <w:t>Between</w:t>
      </w:r>
      <w:proofErr w:type="gramEnd"/>
      <w:r w:rsidRPr="0011626D">
        <w:rPr>
          <w:b/>
        </w:rPr>
        <w:t xml:space="preserve"> April 2012 To The Present</w:t>
      </w:r>
    </w:p>
    <w:p w:rsidR="00F737C1" w:rsidRDefault="00F737C1" w:rsidP="00344A5F">
      <w:pPr>
        <w:jc w:val="both"/>
      </w:pPr>
    </w:p>
    <w:p w:rsidR="00F737C1" w:rsidRPr="00344A5F" w:rsidRDefault="00F737C1" w:rsidP="00344A5F">
      <w:pPr>
        <w:numPr>
          <w:ilvl w:val="0"/>
          <w:numId w:val="23"/>
        </w:numPr>
        <w:jc w:val="both"/>
        <w:rPr>
          <w:b/>
          <w:caps/>
          <w:lang w:val="en-CA"/>
        </w:rPr>
      </w:pPr>
      <w:r w:rsidRPr="0011626D">
        <w:t>Noting that no previous reports exist on which to make a comparison, the analysis is based mainly on the</w:t>
      </w:r>
      <w:r w:rsidRPr="0011626D">
        <w:rPr>
          <w:color w:val="FF0000"/>
        </w:rPr>
        <w:t xml:space="preserve"> </w:t>
      </w:r>
      <w:r w:rsidRPr="0011626D">
        <w:rPr>
          <w:color w:val="000000"/>
        </w:rPr>
        <w:t>review of the responses to the current indicators. Th</w:t>
      </w:r>
      <w:r>
        <w:rPr>
          <w:color w:val="000000"/>
        </w:rPr>
        <w:t>e</w:t>
      </w:r>
      <w:r w:rsidRPr="0011626D">
        <w:rPr>
          <w:color w:val="000000"/>
        </w:rPr>
        <w:t xml:space="preserve"> analysis shows that the main advances achieved by </w:t>
      </w:r>
      <w:smartTag w:uri="urn:schemas-microsoft-com:office:smarttags" w:element="place">
        <w:smartTag w:uri="urn:schemas-microsoft-com:office:smarttags" w:element="country-region">
          <w:r w:rsidRPr="0011626D">
            <w:rPr>
              <w:color w:val="000000"/>
            </w:rPr>
            <w:t>Grenada</w:t>
          </w:r>
        </w:smartTag>
      </w:smartTag>
      <w:r w:rsidRPr="0011626D">
        <w:rPr>
          <w:color w:val="000000"/>
        </w:rPr>
        <w:t xml:space="preserve"> in the fulfillment of its obligations to this Convention during this period are the enactment of amendments to legislatio</w:t>
      </w:r>
      <w:r>
        <w:rPr>
          <w:color w:val="000000"/>
        </w:rPr>
        <w:t>n relating to sexual offences.</w:t>
      </w:r>
    </w:p>
    <w:p w:rsidR="00F737C1" w:rsidRPr="00344A5F" w:rsidRDefault="00F737C1" w:rsidP="00344A5F">
      <w:pPr>
        <w:numPr>
          <w:ilvl w:val="0"/>
          <w:numId w:val="23"/>
        </w:numPr>
        <w:jc w:val="both"/>
        <w:rPr>
          <w:b/>
          <w:caps/>
          <w:lang w:val="en-CA"/>
        </w:rPr>
      </w:pPr>
      <w:r w:rsidRPr="0011626D">
        <w:rPr>
          <w:color w:val="000000"/>
        </w:rPr>
        <w:t>These are:</w:t>
      </w:r>
    </w:p>
    <w:p w:rsidR="00F737C1" w:rsidRDefault="00F737C1" w:rsidP="00344A5F">
      <w:pPr>
        <w:jc w:val="both"/>
        <w:rPr>
          <w:color w:val="000000"/>
        </w:rPr>
      </w:pPr>
    </w:p>
    <w:p w:rsidR="00F737C1" w:rsidRPr="0011626D" w:rsidRDefault="00F737C1" w:rsidP="00344A5F">
      <w:pPr>
        <w:pStyle w:val="ListParagraph"/>
        <w:numPr>
          <w:ilvl w:val="0"/>
          <w:numId w:val="13"/>
        </w:numPr>
        <w:spacing w:after="120"/>
        <w:contextualSpacing w:val="0"/>
        <w:jc w:val="both"/>
      </w:pPr>
      <w:r w:rsidRPr="0011626D">
        <w:rPr>
          <w:color w:val="000000"/>
        </w:rPr>
        <w:t>The</w:t>
      </w:r>
      <w:r w:rsidRPr="00F56617">
        <w:rPr>
          <w:color w:val="000000"/>
        </w:rPr>
        <w:t xml:space="preserve"> </w:t>
      </w:r>
      <w:r w:rsidRPr="0011626D">
        <w:t xml:space="preserve">Education (Amendment) Act 2012 that gives authority to the Ministry of Education to immediately suspend the service of any teacher who is reported to have committed any act of sexual abuse against a minor who attends  the school where he/she is a teacher. </w:t>
      </w:r>
    </w:p>
    <w:p w:rsidR="00F737C1" w:rsidRPr="0011626D" w:rsidRDefault="00F737C1" w:rsidP="00344A5F">
      <w:pPr>
        <w:pStyle w:val="ListParagraph"/>
        <w:numPr>
          <w:ilvl w:val="0"/>
          <w:numId w:val="13"/>
        </w:numPr>
        <w:spacing w:after="120"/>
        <w:contextualSpacing w:val="0"/>
        <w:jc w:val="both"/>
      </w:pPr>
      <w:r w:rsidRPr="0011626D">
        <w:t xml:space="preserve">The Criminal Code 2012 - This legislation has given a wider definition to rape and has increased the penalties for sexual offences. The Criminal code also addresses trafficking in persons and includes provisions </w:t>
      </w:r>
      <w:r>
        <w:t>against</w:t>
      </w:r>
      <w:r w:rsidRPr="0011626D">
        <w:t xml:space="preserve"> forced prostitution. </w:t>
      </w:r>
    </w:p>
    <w:p w:rsidR="00F737C1" w:rsidRPr="0011626D" w:rsidRDefault="00F737C1" w:rsidP="00344A5F">
      <w:pPr>
        <w:pStyle w:val="ListParagraph"/>
        <w:numPr>
          <w:ilvl w:val="0"/>
          <w:numId w:val="13"/>
        </w:numPr>
        <w:spacing w:after="120"/>
        <w:contextualSpacing w:val="0"/>
        <w:jc w:val="both"/>
        <w:rPr>
          <w:color w:val="000000"/>
          <w:lang w:val="en-CA"/>
        </w:rPr>
      </w:pPr>
      <w:r w:rsidRPr="00226211">
        <w:rPr>
          <w:color w:val="000000"/>
        </w:rPr>
        <w:t xml:space="preserve">A </w:t>
      </w:r>
      <w:r w:rsidRPr="0011626D">
        <w:t>draft bill on Sexual Harassment has been developed but is yet to be approved.</w:t>
      </w:r>
    </w:p>
    <w:p w:rsidR="00F737C1" w:rsidRDefault="00F737C1" w:rsidP="00344A5F">
      <w:pPr>
        <w:pStyle w:val="ListParagraph"/>
        <w:numPr>
          <w:ilvl w:val="0"/>
          <w:numId w:val="13"/>
        </w:numPr>
        <w:tabs>
          <w:tab w:val="left" w:pos="-1440"/>
        </w:tabs>
        <w:spacing w:after="120"/>
        <w:contextualSpacing w:val="0"/>
        <w:jc w:val="both"/>
        <w:rPr>
          <w:color w:val="000000"/>
          <w:lang w:val="en-CA"/>
        </w:rPr>
      </w:pPr>
      <w:r w:rsidRPr="0011626D">
        <w:rPr>
          <w:color w:val="000000"/>
          <w:lang w:val="en-CA"/>
        </w:rPr>
        <w:lastRenderedPageBreak/>
        <w:t xml:space="preserve">The National Domestic Violence and Sexual Abuse Protocol (2011) that provide guidelines to responders in their interventions to address incidents and manage cases of Domestic and Sexual Violence. </w:t>
      </w:r>
    </w:p>
    <w:p w:rsidR="00F737C1" w:rsidRDefault="00F737C1" w:rsidP="00344A5F">
      <w:pPr>
        <w:jc w:val="both"/>
        <w:rPr>
          <w:b/>
          <w:caps/>
          <w:lang w:val="en-CA"/>
        </w:rPr>
      </w:pPr>
    </w:p>
    <w:p w:rsidR="00F737C1" w:rsidRPr="00344A5F" w:rsidRDefault="00F737C1" w:rsidP="00344A5F">
      <w:pPr>
        <w:numPr>
          <w:ilvl w:val="0"/>
          <w:numId w:val="23"/>
        </w:numPr>
        <w:jc w:val="both"/>
        <w:rPr>
          <w:b/>
          <w:caps/>
          <w:lang w:val="en-CA"/>
        </w:rPr>
      </w:pPr>
      <w:r w:rsidRPr="00E353E2">
        <w:rPr>
          <w:color w:val="000000"/>
          <w:lang w:val="en-CA"/>
        </w:rPr>
        <w:t>In addition to laws the following were noted:</w:t>
      </w:r>
    </w:p>
    <w:p w:rsidR="00F737C1" w:rsidRDefault="00F737C1" w:rsidP="00344A5F">
      <w:pPr>
        <w:jc w:val="both"/>
        <w:rPr>
          <w:color w:val="000000"/>
          <w:lang w:val="en-CA"/>
        </w:rPr>
      </w:pPr>
    </w:p>
    <w:p w:rsidR="00F737C1" w:rsidRPr="0011626D" w:rsidRDefault="00F737C1" w:rsidP="00344A5F">
      <w:pPr>
        <w:pStyle w:val="ListParagraph"/>
        <w:numPr>
          <w:ilvl w:val="0"/>
          <w:numId w:val="13"/>
        </w:numPr>
        <w:tabs>
          <w:tab w:val="left" w:pos="-1440"/>
        </w:tabs>
        <w:spacing w:after="120"/>
        <w:contextualSpacing w:val="0"/>
        <w:jc w:val="both"/>
        <w:rPr>
          <w:color w:val="000000"/>
          <w:lang w:val="en-CA"/>
        </w:rPr>
      </w:pPr>
      <w:r w:rsidRPr="0011626D">
        <w:rPr>
          <w:color w:val="000000"/>
          <w:lang w:val="en-CA"/>
        </w:rPr>
        <w:t xml:space="preserve">Standard Operating Procedures exist for interaction between the Ministry of Social Development and victims and </w:t>
      </w:r>
      <w:r>
        <w:rPr>
          <w:color w:val="000000"/>
          <w:lang w:val="en-CA"/>
        </w:rPr>
        <w:t xml:space="preserve">other </w:t>
      </w:r>
      <w:r w:rsidRPr="0011626D">
        <w:rPr>
          <w:color w:val="000000"/>
          <w:lang w:val="en-CA"/>
        </w:rPr>
        <w:t>persons affected by gender-based violence. One has</w:t>
      </w:r>
      <w:r>
        <w:rPr>
          <w:color w:val="000000"/>
          <w:lang w:val="en-CA"/>
        </w:rPr>
        <w:t xml:space="preserve"> also</w:t>
      </w:r>
      <w:r w:rsidRPr="0011626D">
        <w:rPr>
          <w:color w:val="000000"/>
          <w:lang w:val="en-CA"/>
        </w:rPr>
        <w:t xml:space="preserve"> been approved for health.</w:t>
      </w:r>
    </w:p>
    <w:p w:rsidR="00F737C1" w:rsidRPr="00226211" w:rsidRDefault="00F737C1" w:rsidP="00344A5F">
      <w:pPr>
        <w:pStyle w:val="ListParagraph"/>
        <w:numPr>
          <w:ilvl w:val="0"/>
          <w:numId w:val="13"/>
        </w:numPr>
        <w:tabs>
          <w:tab w:val="left" w:pos="-1440"/>
        </w:tabs>
        <w:spacing w:after="120"/>
        <w:contextualSpacing w:val="0"/>
        <w:jc w:val="both"/>
        <w:rPr>
          <w:color w:val="000000"/>
          <w:lang w:val="en-CA"/>
        </w:rPr>
      </w:pPr>
      <w:r w:rsidRPr="00226211">
        <w:rPr>
          <w:color w:val="000000"/>
          <w:lang w:val="en-CA"/>
        </w:rPr>
        <w:t>There are 20 civil society organizations involved in the promotion of right to life without violence.</w:t>
      </w:r>
    </w:p>
    <w:p w:rsidR="00F737C1" w:rsidRPr="0011626D" w:rsidRDefault="00F737C1" w:rsidP="00344A5F">
      <w:pPr>
        <w:pStyle w:val="ListParagraph"/>
        <w:numPr>
          <w:ilvl w:val="0"/>
          <w:numId w:val="13"/>
        </w:numPr>
        <w:tabs>
          <w:tab w:val="left" w:pos="-1440"/>
        </w:tabs>
        <w:spacing w:after="120"/>
        <w:contextualSpacing w:val="0"/>
        <w:jc w:val="both"/>
      </w:pPr>
      <w:r w:rsidRPr="00226211">
        <w:rPr>
          <w:color w:val="000000"/>
          <w:lang w:val="en-CA"/>
        </w:rPr>
        <w:t>A National Strategic Action Plan to reduce Gender</w:t>
      </w:r>
      <w:r w:rsidRPr="0011626D">
        <w:rPr>
          <w:color w:val="000000"/>
          <w:lang w:val="en-CA"/>
        </w:rPr>
        <w:t xml:space="preserve"> - Based Violence has been drafted. This Pl</w:t>
      </w:r>
      <w:r w:rsidRPr="0011626D">
        <w:t>an is awaiting Cabinet’s approval.</w:t>
      </w:r>
    </w:p>
    <w:p w:rsidR="00F737C1" w:rsidRPr="0011626D" w:rsidRDefault="00F737C1" w:rsidP="00344A5F">
      <w:pPr>
        <w:pStyle w:val="ListParagraph"/>
        <w:numPr>
          <w:ilvl w:val="0"/>
          <w:numId w:val="13"/>
        </w:numPr>
        <w:tabs>
          <w:tab w:val="left" w:pos="-1440"/>
        </w:tabs>
        <w:spacing w:after="120" w:line="360" w:lineRule="auto"/>
        <w:jc w:val="both"/>
      </w:pPr>
      <w:r w:rsidRPr="0011626D">
        <w:t>A Legal Aid clinic exists.</w:t>
      </w:r>
    </w:p>
    <w:p w:rsidR="00F737C1" w:rsidRPr="00070E6B" w:rsidRDefault="00F737C1" w:rsidP="00344A5F">
      <w:pPr>
        <w:numPr>
          <w:ilvl w:val="0"/>
          <w:numId w:val="18"/>
        </w:numPr>
        <w:jc w:val="both"/>
        <w:rPr>
          <w:b/>
          <w:bCs/>
        </w:rPr>
      </w:pPr>
      <w:r w:rsidRPr="00070E6B">
        <w:rPr>
          <w:b/>
          <w:bCs/>
        </w:rPr>
        <w:t>PROGRESS ON THE RECOMMENDATIONS</w:t>
      </w:r>
    </w:p>
    <w:p w:rsidR="00F737C1" w:rsidRPr="00070E6B" w:rsidRDefault="00F737C1" w:rsidP="00344A5F">
      <w:pPr>
        <w:ind w:firstLine="720"/>
        <w:jc w:val="both"/>
      </w:pPr>
    </w:p>
    <w:p w:rsidR="00F737C1" w:rsidRDefault="00F737C1" w:rsidP="00344A5F">
      <w:pPr>
        <w:numPr>
          <w:ilvl w:val="0"/>
          <w:numId w:val="19"/>
        </w:numPr>
        <w:jc w:val="both"/>
        <w:rPr>
          <w:b/>
        </w:rPr>
      </w:pPr>
      <w:r w:rsidRPr="00070E6B">
        <w:rPr>
          <w:b/>
        </w:rPr>
        <w:t xml:space="preserve">Legislation </w:t>
      </w:r>
      <w:r>
        <w:rPr>
          <w:b/>
        </w:rPr>
        <w:t xml:space="preserve">- Articles 1, 2 and 7 </w:t>
      </w:r>
      <w:proofErr w:type="spellStart"/>
      <w:r>
        <w:rPr>
          <w:b/>
        </w:rPr>
        <w:t>c</w:t>
      </w:r>
      <w:proofErr w:type="spellEnd"/>
      <w:r>
        <w:rPr>
          <w:b/>
        </w:rPr>
        <w:t xml:space="preserve">), e) and g) of the </w:t>
      </w:r>
      <w:proofErr w:type="spellStart"/>
      <w:r>
        <w:rPr>
          <w:b/>
        </w:rPr>
        <w:t>Belém</w:t>
      </w:r>
      <w:proofErr w:type="spellEnd"/>
      <w:r>
        <w:rPr>
          <w:b/>
        </w:rPr>
        <w:t xml:space="preserve"> do </w:t>
      </w:r>
      <w:proofErr w:type="spellStart"/>
      <w:r>
        <w:rPr>
          <w:b/>
        </w:rPr>
        <w:t>Pará</w:t>
      </w:r>
      <w:proofErr w:type="spellEnd"/>
      <w:r>
        <w:rPr>
          <w:b/>
        </w:rPr>
        <w:t xml:space="preserve"> Convention</w:t>
      </w:r>
    </w:p>
    <w:p w:rsidR="00F737C1" w:rsidRPr="00070E6B" w:rsidRDefault="00F737C1" w:rsidP="00344A5F">
      <w:pPr>
        <w:ind w:left="720"/>
        <w:jc w:val="both"/>
        <w:rPr>
          <w:b/>
        </w:rPr>
      </w:pPr>
    </w:p>
    <w:p w:rsidR="00F737C1" w:rsidRPr="0011626D" w:rsidRDefault="00F737C1" w:rsidP="00344A5F">
      <w:pPr>
        <w:pStyle w:val="ListParagraph"/>
        <w:numPr>
          <w:ilvl w:val="0"/>
          <w:numId w:val="1"/>
        </w:numPr>
        <w:ind w:left="720"/>
        <w:jc w:val="both"/>
        <w:rPr>
          <w:lang w:val="en-CA"/>
        </w:rPr>
      </w:pPr>
      <w:r w:rsidRPr="0011626D">
        <w:rPr>
          <w:b/>
          <w:lang w:val="en-CA"/>
        </w:rPr>
        <w:t>Formal Component (Reception of the Right</w:t>
      </w:r>
      <w:r w:rsidRPr="0011626D">
        <w:rPr>
          <w:lang w:val="en-CA"/>
        </w:rPr>
        <w:t>)</w:t>
      </w:r>
    </w:p>
    <w:p w:rsidR="00F737C1" w:rsidRDefault="00F737C1" w:rsidP="00344A5F">
      <w:pPr>
        <w:jc w:val="both"/>
        <w:rPr>
          <w:b/>
          <w:caps/>
          <w:lang w:val="en-CA"/>
        </w:rPr>
      </w:pPr>
    </w:p>
    <w:p w:rsidR="00F737C1" w:rsidRDefault="00F737C1" w:rsidP="00344A5F">
      <w:pPr>
        <w:numPr>
          <w:ilvl w:val="0"/>
          <w:numId w:val="23"/>
        </w:numPr>
        <w:jc w:val="both"/>
        <w:rPr>
          <w:b/>
          <w:caps/>
          <w:lang w:val="en-CA"/>
        </w:rPr>
      </w:pPr>
      <w:r w:rsidRPr="0011626D">
        <w:rPr>
          <w:lang w:val="en-CA"/>
        </w:rPr>
        <w:t xml:space="preserve">The report shows that the Convention of Belem do Para is not enacted as law in </w:t>
      </w:r>
      <w:smartTag w:uri="urn:schemas-microsoft-com:office:smarttags" w:element="country-region">
        <w:r w:rsidRPr="0011626D">
          <w:rPr>
            <w:lang w:val="en-CA"/>
          </w:rPr>
          <w:t>Grenada</w:t>
        </w:r>
      </w:smartTag>
      <w:r w:rsidRPr="0011626D">
        <w:rPr>
          <w:lang w:val="en-CA"/>
        </w:rPr>
        <w:t xml:space="preserve"> and therefore cannot be directly enforced as law in </w:t>
      </w:r>
      <w:smartTag w:uri="urn:schemas-microsoft-com:office:smarttags" w:element="place">
        <w:smartTag w:uri="urn:schemas-microsoft-com:office:smarttags" w:element="country-region">
          <w:r w:rsidRPr="0011626D">
            <w:rPr>
              <w:lang w:val="en-CA"/>
            </w:rPr>
            <w:t>Grenada</w:t>
          </w:r>
        </w:smartTag>
      </w:smartTag>
      <w:r w:rsidRPr="0011626D">
        <w:rPr>
          <w:lang w:val="en-CA"/>
        </w:rPr>
        <w:t xml:space="preserve">. The result is that in </w:t>
      </w:r>
      <w:smartTag w:uri="urn:schemas-microsoft-com:office:smarttags" w:element="PersonName">
        <w:smartTag w:uri="urn:schemas-microsoft-com:office:smarttags" w:element="country-region">
          <w:smartTag w:uri="urn:schemas-microsoft-com:office:smarttags" w:element="place">
            <w:r w:rsidRPr="0011626D">
              <w:rPr>
                <w:lang w:val="en-CA"/>
              </w:rPr>
              <w:t>Grenada</w:t>
            </w:r>
          </w:smartTag>
        </w:smartTag>
      </w:smartTag>
      <w:r w:rsidRPr="0011626D">
        <w:rPr>
          <w:lang w:val="en-CA"/>
        </w:rPr>
        <w:t xml:space="preserve"> there is no legislation that specifically addresses the prevention and punishment of violence against women. </w:t>
      </w:r>
    </w:p>
    <w:p w:rsidR="00F737C1" w:rsidRPr="00344A5F" w:rsidRDefault="00F737C1" w:rsidP="00344A5F">
      <w:pPr>
        <w:numPr>
          <w:ilvl w:val="0"/>
          <w:numId w:val="23"/>
        </w:numPr>
        <w:jc w:val="both"/>
        <w:rPr>
          <w:b/>
          <w:caps/>
          <w:lang w:val="en-CA"/>
        </w:rPr>
      </w:pPr>
      <w:r w:rsidRPr="0011626D">
        <w:rPr>
          <w:lang w:val="en-CA"/>
        </w:rPr>
        <w:t>However in response to the indicators, the respondent claims that</w:t>
      </w:r>
    </w:p>
    <w:p w:rsidR="00F737C1" w:rsidRDefault="00F737C1" w:rsidP="00344A5F">
      <w:pPr>
        <w:jc w:val="both"/>
        <w:rPr>
          <w:lang w:val="en-CA"/>
        </w:rPr>
      </w:pPr>
    </w:p>
    <w:p w:rsidR="00F737C1" w:rsidRPr="0011626D" w:rsidRDefault="00F737C1" w:rsidP="00344A5F">
      <w:pPr>
        <w:jc w:val="both"/>
        <w:rPr>
          <w:b/>
          <w:i/>
        </w:rPr>
      </w:pPr>
      <w:proofErr w:type="gramStart"/>
      <w:r w:rsidRPr="0011626D">
        <w:rPr>
          <w:b/>
          <w:i/>
          <w:lang w:val="en-CA"/>
        </w:rPr>
        <w:t>“ the</w:t>
      </w:r>
      <w:proofErr w:type="gramEnd"/>
      <w:r w:rsidRPr="0011626D">
        <w:rPr>
          <w:b/>
          <w:i/>
          <w:lang w:val="en-CA"/>
        </w:rPr>
        <w:t xml:space="preserve"> articles of the Convention  are given full consideration when legislation is being contemplated and that existing laws, such as the Domestic Violence Act (2010), provides for local enforcement of the principles of the Convention.  Further, other relevant laws are being revised to ensure conformity with this Convention and other conventions”</w:t>
      </w:r>
      <w:bookmarkStart w:id="0" w:name="_GoBack"/>
      <w:bookmarkEnd w:id="0"/>
      <w:r w:rsidRPr="0011626D">
        <w:rPr>
          <w:b/>
          <w:i/>
          <w:lang w:val="en-CA"/>
        </w:rPr>
        <w:t>.</w:t>
      </w:r>
    </w:p>
    <w:p w:rsidR="00F737C1" w:rsidRPr="00344A5F" w:rsidRDefault="00F737C1" w:rsidP="00344A5F">
      <w:pPr>
        <w:jc w:val="both"/>
        <w:rPr>
          <w:b/>
          <w:caps/>
        </w:rPr>
      </w:pPr>
    </w:p>
    <w:p w:rsidR="00F737C1" w:rsidRDefault="00F737C1" w:rsidP="00344A5F">
      <w:pPr>
        <w:numPr>
          <w:ilvl w:val="0"/>
          <w:numId w:val="23"/>
        </w:numPr>
        <w:jc w:val="both"/>
        <w:rPr>
          <w:b/>
          <w:caps/>
          <w:lang w:val="en-CA"/>
        </w:rPr>
      </w:pPr>
      <w:r w:rsidRPr="0011626D">
        <w:rPr>
          <w:lang w:val="en-CA"/>
        </w:rPr>
        <w:t xml:space="preserve">There is also no reference to </w:t>
      </w:r>
      <w:r>
        <w:rPr>
          <w:lang w:val="en-CA"/>
        </w:rPr>
        <w:t xml:space="preserve">the </w:t>
      </w:r>
      <w:r w:rsidRPr="0011626D">
        <w:rPr>
          <w:lang w:val="en-CA"/>
        </w:rPr>
        <w:t xml:space="preserve">term </w:t>
      </w:r>
      <w:r>
        <w:rPr>
          <w:lang w:val="en-CA"/>
        </w:rPr>
        <w:t>“</w:t>
      </w:r>
      <w:r w:rsidRPr="0011626D">
        <w:rPr>
          <w:lang w:val="en-CA"/>
        </w:rPr>
        <w:t>gender- based violence in</w:t>
      </w:r>
      <w:r>
        <w:rPr>
          <w:lang w:val="en-CA"/>
        </w:rPr>
        <w:t>”</w:t>
      </w:r>
      <w:r w:rsidRPr="0011626D">
        <w:rPr>
          <w:lang w:val="en-CA"/>
        </w:rPr>
        <w:t xml:space="preserve"> the law. However, the report shows that between 2010 and 2012, </w:t>
      </w:r>
      <w:smartTag w:uri="urn:schemas-microsoft-com:office:smarttags" w:element="place">
        <w:smartTag w:uri="urn:schemas-microsoft-com:office:smarttags" w:element="country-region">
          <w:r w:rsidRPr="0011626D">
            <w:rPr>
              <w:lang w:val="en-CA"/>
            </w:rPr>
            <w:t>Grenada</w:t>
          </w:r>
        </w:smartTag>
      </w:smartTag>
      <w:r w:rsidRPr="0011626D">
        <w:rPr>
          <w:lang w:val="en-CA"/>
        </w:rPr>
        <w:t xml:space="preserve"> amended several pieces of legislation that address issues pertaining to violent acts committed against women.</w:t>
      </w:r>
    </w:p>
    <w:p w:rsidR="00F737C1" w:rsidRDefault="00F737C1" w:rsidP="00344A5F">
      <w:pPr>
        <w:jc w:val="both"/>
        <w:rPr>
          <w:b/>
          <w:caps/>
          <w:lang w:val="en-CA"/>
        </w:rPr>
      </w:pPr>
    </w:p>
    <w:p w:rsidR="00F737C1" w:rsidRDefault="00F737C1" w:rsidP="00344A5F">
      <w:pPr>
        <w:numPr>
          <w:ilvl w:val="0"/>
          <w:numId w:val="23"/>
        </w:numPr>
        <w:jc w:val="both"/>
        <w:rPr>
          <w:b/>
          <w:caps/>
          <w:lang w:val="en-CA"/>
        </w:rPr>
      </w:pPr>
      <w:r w:rsidRPr="0011626D">
        <w:rPr>
          <w:lang w:val="en-CA"/>
        </w:rPr>
        <w:t xml:space="preserve">In 2010, the Domestic Violence Act 2010, and the Child (Protection and Adoption) Act 2010 were revised. Other legislations revised during 2012 are the Education (Amendment) Act 2012 and the Criminal Code 2012.  There is no evidence that any of these laws has a specific definition of violence against women </w:t>
      </w:r>
      <w:r>
        <w:rPr>
          <w:bCs/>
        </w:rPr>
        <w:t xml:space="preserve">as </w:t>
      </w:r>
      <w:r w:rsidRPr="0011626D">
        <w:rPr>
          <w:bCs/>
        </w:rPr>
        <w:t>defin</w:t>
      </w:r>
      <w:r>
        <w:rPr>
          <w:bCs/>
        </w:rPr>
        <w:t xml:space="preserve">ed by </w:t>
      </w:r>
      <w:r w:rsidRPr="007B6E21">
        <w:rPr>
          <w:bCs/>
        </w:rPr>
        <w:t xml:space="preserve">the </w:t>
      </w:r>
      <w:proofErr w:type="spellStart"/>
      <w:r w:rsidRPr="007B6E21">
        <w:rPr>
          <w:bCs/>
        </w:rPr>
        <w:t>Belém</w:t>
      </w:r>
      <w:proofErr w:type="spellEnd"/>
      <w:r w:rsidRPr="007B6E21">
        <w:rPr>
          <w:bCs/>
        </w:rPr>
        <w:t xml:space="preserve"> do </w:t>
      </w:r>
      <w:proofErr w:type="spellStart"/>
      <w:r w:rsidRPr="007B6E21">
        <w:rPr>
          <w:bCs/>
        </w:rPr>
        <w:t>Pará</w:t>
      </w:r>
      <w:proofErr w:type="spellEnd"/>
      <w:r w:rsidRPr="007B6E21">
        <w:rPr>
          <w:bCs/>
        </w:rPr>
        <w:t xml:space="preserve"> Convention</w:t>
      </w:r>
      <w:r>
        <w:rPr>
          <w:bCs/>
        </w:rPr>
        <w:t>.</w:t>
      </w:r>
    </w:p>
    <w:p w:rsidR="00F737C1" w:rsidRDefault="00F737C1" w:rsidP="00344A5F">
      <w:pPr>
        <w:jc w:val="both"/>
        <w:rPr>
          <w:bCs/>
        </w:rPr>
      </w:pPr>
    </w:p>
    <w:p w:rsidR="00F737C1" w:rsidRDefault="00F737C1" w:rsidP="00344A5F">
      <w:pPr>
        <w:numPr>
          <w:ilvl w:val="0"/>
          <w:numId w:val="23"/>
        </w:numPr>
        <w:jc w:val="both"/>
        <w:rPr>
          <w:b/>
          <w:caps/>
          <w:lang w:val="en-CA"/>
        </w:rPr>
      </w:pPr>
      <w:r w:rsidRPr="0011626D">
        <w:rPr>
          <w:bCs/>
        </w:rPr>
        <w:lastRenderedPageBreak/>
        <w:t>The Revised Criminal Code has a wider definition of rape that includes</w:t>
      </w:r>
      <w:r>
        <w:rPr>
          <w:bCs/>
        </w:rPr>
        <w:t>:</w:t>
      </w:r>
      <w:r w:rsidRPr="0011626D">
        <w:rPr>
          <w:bCs/>
        </w:rPr>
        <w:t xml:space="preserve"> anal penetration, recognition of marital rape, interruption of pregnancy on therapeutic grounds and the interruption of pregnancy caused by rape. The punishment for these was not stated. Rape in a de facto union was not addressed.  The rules of criminal procedure that are necessary to remove obstacles that could prevent women from seeking justice in these cases were not noted.</w:t>
      </w:r>
    </w:p>
    <w:p w:rsidR="00F737C1" w:rsidRDefault="00F737C1" w:rsidP="00344A5F">
      <w:pPr>
        <w:jc w:val="both"/>
        <w:rPr>
          <w:bCs/>
        </w:rPr>
      </w:pPr>
    </w:p>
    <w:p w:rsidR="00F737C1" w:rsidRDefault="00F737C1" w:rsidP="00344A5F">
      <w:pPr>
        <w:numPr>
          <w:ilvl w:val="0"/>
          <w:numId w:val="23"/>
        </w:numPr>
        <w:jc w:val="both"/>
        <w:rPr>
          <w:b/>
          <w:caps/>
          <w:lang w:val="en-CA"/>
        </w:rPr>
      </w:pPr>
      <w:r w:rsidRPr="0011626D">
        <w:rPr>
          <w:bCs/>
        </w:rPr>
        <w:t xml:space="preserve">There are no specific pieces of legislation to cover trafficking in persons and forced prostitution. These are covered under the Criminal Code 2012. Sections 188 and 199 cover trafficking in persons. Section 189 was quoted in support of punishment of forced </w:t>
      </w:r>
      <w:r w:rsidRPr="0011626D">
        <w:rPr>
          <w:bCs/>
          <w:color w:val="000000"/>
        </w:rPr>
        <w:t>prostitution.  No reference is made to th</w:t>
      </w:r>
      <w:r>
        <w:rPr>
          <w:bCs/>
          <w:color w:val="000000"/>
        </w:rPr>
        <w:t>i</w:t>
      </w:r>
      <w:r w:rsidRPr="0011626D">
        <w:rPr>
          <w:bCs/>
          <w:color w:val="000000"/>
        </w:rPr>
        <w:t xml:space="preserve">s being criminalize in accordance with the standards of the “Protocol to Prevent, Suppress and Punish Trafficking in Persons, Especially Women and Children, Supplementing the United Nations Convention </w:t>
      </w:r>
      <w:proofErr w:type="gramStart"/>
      <w:r w:rsidRPr="0011626D">
        <w:rPr>
          <w:bCs/>
          <w:color w:val="000000"/>
        </w:rPr>
        <w:t>Against</w:t>
      </w:r>
      <w:proofErr w:type="gramEnd"/>
      <w:r w:rsidRPr="0011626D">
        <w:rPr>
          <w:bCs/>
          <w:color w:val="000000"/>
        </w:rPr>
        <w:t xml:space="preserve"> Transnational Organized Crime” known as the Palermo Protocol, and the Elements of Crimes of the Rome Statute</w:t>
      </w:r>
      <w:r>
        <w:rPr>
          <w:bCs/>
          <w:color w:val="000000"/>
        </w:rPr>
        <w:t>.</w:t>
      </w:r>
    </w:p>
    <w:p w:rsidR="00F737C1" w:rsidRDefault="00F737C1" w:rsidP="00344A5F">
      <w:pPr>
        <w:jc w:val="both"/>
        <w:rPr>
          <w:bCs/>
        </w:rPr>
      </w:pPr>
    </w:p>
    <w:p w:rsidR="00F737C1" w:rsidRDefault="00F737C1" w:rsidP="00344A5F">
      <w:pPr>
        <w:numPr>
          <w:ilvl w:val="0"/>
          <w:numId w:val="23"/>
        </w:numPr>
        <w:jc w:val="both"/>
        <w:rPr>
          <w:b/>
          <w:caps/>
          <w:lang w:val="en-CA"/>
        </w:rPr>
      </w:pPr>
      <w:r w:rsidRPr="0011626D">
        <w:rPr>
          <w:bCs/>
        </w:rPr>
        <w:t>At present sexual harassment is not punishable by law. However, a Draft Bill was set for consideration since 2012. This Bill has provisions for punishment of Sexual Harassment in employment (education, worship etc).</w:t>
      </w:r>
    </w:p>
    <w:p w:rsidR="00F737C1" w:rsidRDefault="00F737C1" w:rsidP="00344A5F">
      <w:pPr>
        <w:jc w:val="both"/>
        <w:rPr>
          <w:bCs/>
        </w:rPr>
      </w:pPr>
    </w:p>
    <w:p w:rsidR="00F737C1" w:rsidRDefault="00F737C1" w:rsidP="00344A5F">
      <w:pPr>
        <w:numPr>
          <w:ilvl w:val="0"/>
          <w:numId w:val="23"/>
        </w:numPr>
        <w:jc w:val="both"/>
        <w:rPr>
          <w:b/>
          <w:caps/>
          <w:lang w:val="en-CA"/>
        </w:rPr>
      </w:pPr>
      <w:proofErr w:type="spellStart"/>
      <w:r w:rsidRPr="0011626D">
        <w:rPr>
          <w:bCs/>
        </w:rPr>
        <w:t>Femicide</w:t>
      </w:r>
      <w:proofErr w:type="spellEnd"/>
      <w:r w:rsidRPr="0011626D">
        <w:rPr>
          <w:bCs/>
        </w:rPr>
        <w:t xml:space="preserve">, sexual violence committed in armed conflicts, sexual violence committed in </w:t>
      </w:r>
      <w:r>
        <w:rPr>
          <w:bCs/>
        </w:rPr>
        <w:t>s</w:t>
      </w:r>
      <w:r w:rsidRPr="0011626D">
        <w:rPr>
          <w:bCs/>
        </w:rPr>
        <w:t>tate institutions, and   obstetric violence are not addressed in the report.</w:t>
      </w:r>
    </w:p>
    <w:p w:rsidR="00F737C1" w:rsidRDefault="00F737C1" w:rsidP="00344A5F">
      <w:pPr>
        <w:jc w:val="both"/>
      </w:pPr>
    </w:p>
    <w:p w:rsidR="00F737C1" w:rsidRDefault="00F737C1" w:rsidP="00344A5F">
      <w:pPr>
        <w:numPr>
          <w:ilvl w:val="0"/>
          <w:numId w:val="23"/>
        </w:numPr>
        <w:jc w:val="both"/>
        <w:rPr>
          <w:b/>
          <w:caps/>
          <w:lang w:val="en-CA"/>
        </w:rPr>
      </w:pPr>
      <w:r w:rsidRPr="0011626D">
        <w:t xml:space="preserve">The issues of conciliation, mediation and other methods of out of court settlement, </w:t>
      </w:r>
      <w:proofErr w:type="spellStart"/>
      <w:r w:rsidRPr="0011626D">
        <w:t>femicide</w:t>
      </w:r>
      <w:proofErr w:type="spellEnd"/>
      <w:r w:rsidRPr="0011626D">
        <w:t>, provisions to prevent and punish sexual violence in armed conflict and natural disaster and by state institutions have not received any attention in the report.</w:t>
      </w:r>
    </w:p>
    <w:p w:rsidR="00F737C1" w:rsidRDefault="00F737C1" w:rsidP="00344A5F">
      <w:pPr>
        <w:jc w:val="both"/>
      </w:pPr>
    </w:p>
    <w:p w:rsidR="00F737C1" w:rsidRPr="00344A5F" w:rsidRDefault="00F737C1" w:rsidP="00344A5F">
      <w:pPr>
        <w:numPr>
          <w:ilvl w:val="0"/>
          <w:numId w:val="23"/>
        </w:numPr>
        <w:jc w:val="both"/>
        <w:rPr>
          <w:b/>
          <w:caps/>
          <w:lang w:val="en-CA"/>
        </w:rPr>
      </w:pPr>
      <w:r w:rsidRPr="0011626D">
        <w:t xml:space="preserve">The report also did not address in any detail the existence of legislation </w:t>
      </w:r>
      <w:r>
        <w:t>relating to</w:t>
      </w:r>
      <w:r w:rsidRPr="0011626D">
        <w:t xml:space="preserve"> sexual and reproductive rights. However</w:t>
      </w:r>
      <w:r>
        <w:rPr>
          <w:bCs/>
        </w:rPr>
        <w:t>,</w:t>
      </w:r>
      <w:r w:rsidRPr="0011626D">
        <w:rPr>
          <w:bCs/>
        </w:rPr>
        <w:t xml:space="preserve"> the report stated that legislation to protect some sexual reproductive rights is unnecessary as provisions exist by way of practices as follows:</w:t>
      </w:r>
    </w:p>
    <w:p w:rsidR="00F737C1" w:rsidRDefault="00F737C1" w:rsidP="00344A5F">
      <w:pPr>
        <w:jc w:val="both"/>
        <w:rPr>
          <w:b/>
          <w:caps/>
          <w:lang w:val="en-CA"/>
        </w:rPr>
      </w:pPr>
    </w:p>
    <w:p w:rsidR="00F737C1" w:rsidRPr="0011626D" w:rsidRDefault="00F737C1" w:rsidP="00344A5F">
      <w:pPr>
        <w:pStyle w:val="ListParagraph"/>
        <w:numPr>
          <w:ilvl w:val="0"/>
          <w:numId w:val="10"/>
        </w:numPr>
        <w:tabs>
          <w:tab w:val="left" w:pos="360"/>
        </w:tabs>
        <w:spacing w:after="120"/>
        <w:contextualSpacing w:val="0"/>
        <w:jc w:val="both"/>
        <w:rPr>
          <w:bCs/>
        </w:rPr>
      </w:pPr>
      <w:r w:rsidRPr="0011626D">
        <w:rPr>
          <w:bCs/>
        </w:rPr>
        <w:t xml:space="preserve">Criminal </w:t>
      </w:r>
      <w:r>
        <w:rPr>
          <w:bCs/>
        </w:rPr>
        <w:t>o</w:t>
      </w:r>
      <w:r w:rsidRPr="0011626D">
        <w:rPr>
          <w:bCs/>
        </w:rPr>
        <w:t xml:space="preserve">ffences related to sexual crimes, including forced prostitution and detaining a female to be carnally known.  </w:t>
      </w:r>
    </w:p>
    <w:p w:rsidR="00F737C1" w:rsidRPr="0011626D" w:rsidRDefault="00F737C1" w:rsidP="00344A5F">
      <w:pPr>
        <w:pStyle w:val="ListParagraph"/>
        <w:numPr>
          <w:ilvl w:val="0"/>
          <w:numId w:val="10"/>
        </w:numPr>
        <w:tabs>
          <w:tab w:val="left" w:pos="360"/>
        </w:tabs>
        <w:spacing w:after="120"/>
        <w:contextualSpacing w:val="0"/>
        <w:jc w:val="both"/>
        <w:rPr>
          <w:bCs/>
        </w:rPr>
      </w:pPr>
      <w:r w:rsidRPr="0011626D">
        <w:rPr>
          <w:bCs/>
        </w:rPr>
        <w:t xml:space="preserve">Presence of Gynecology and Obstetrics </w:t>
      </w:r>
      <w:r>
        <w:rPr>
          <w:bCs/>
        </w:rPr>
        <w:t>w</w:t>
      </w:r>
      <w:r w:rsidRPr="0011626D">
        <w:rPr>
          <w:bCs/>
        </w:rPr>
        <w:t xml:space="preserve">ards at the General Hospital </w:t>
      </w:r>
    </w:p>
    <w:p w:rsidR="00F737C1" w:rsidRPr="0011626D" w:rsidRDefault="00F737C1" w:rsidP="00344A5F">
      <w:pPr>
        <w:pStyle w:val="ListParagraph"/>
        <w:numPr>
          <w:ilvl w:val="0"/>
          <w:numId w:val="10"/>
        </w:numPr>
        <w:tabs>
          <w:tab w:val="left" w:pos="360"/>
        </w:tabs>
        <w:spacing w:after="120"/>
        <w:contextualSpacing w:val="0"/>
        <w:jc w:val="both"/>
        <w:rPr>
          <w:bCs/>
        </w:rPr>
      </w:pPr>
      <w:r w:rsidRPr="0011626D">
        <w:rPr>
          <w:bCs/>
        </w:rPr>
        <w:t xml:space="preserve">Ante-natal clinics at District Medical Stations </w:t>
      </w:r>
    </w:p>
    <w:p w:rsidR="00F737C1" w:rsidRPr="0011626D" w:rsidRDefault="00F737C1" w:rsidP="00344A5F">
      <w:pPr>
        <w:pStyle w:val="ListParagraph"/>
        <w:numPr>
          <w:ilvl w:val="0"/>
          <w:numId w:val="10"/>
        </w:numPr>
        <w:tabs>
          <w:tab w:val="left" w:pos="360"/>
        </w:tabs>
        <w:spacing w:after="120"/>
        <w:contextualSpacing w:val="0"/>
        <w:jc w:val="both"/>
        <w:rPr>
          <w:bCs/>
        </w:rPr>
      </w:pPr>
      <w:r>
        <w:rPr>
          <w:bCs/>
        </w:rPr>
        <w:t>C</w:t>
      </w:r>
      <w:r w:rsidRPr="0011626D">
        <w:rPr>
          <w:bCs/>
        </w:rPr>
        <w:t xml:space="preserve">ontraceptives </w:t>
      </w:r>
      <w:r>
        <w:rPr>
          <w:bCs/>
        </w:rPr>
        <w:t xml:space="preserve">are </w:t>
      </w:r>
      <w:r w:rsidRPr="0011626D">
        <w:rPr>
          <w:bCs/>
        </w:rPr>
        <w:t>available</w:t>
      </w:r>
      <w:r>
        <w:rPr>
          <w:bCs/>
        </w:rPr>
        <w:t xml:space="preserve"> and their use</w:t>
      </w:r>
      <w:r w:rsidRPr="0011626D">
        <w:rPr>
          <w:bCs/>
        </w:rPr>
        <w:t xml:space="preserve"> is legal</w:t>
      </w:r>
      <w:r>
        <w:rPr>
          <w:bCs/>
        </w:rPr>
        <w:t>.</w:t>
      </w:r>
    </w:p>
    <w:p w:rsidR="00F737C1" w:rsidRDefault="00F737C1" w:rsidP="00344A5F">
      <w:pPr>
        <w:jc w:val="both"/>
        <w:rPr>
          <w:bCs/>
        </w:rPr>
      </w:pPr>
    </w:p>
    <w:p w:rsidR="00F737C1" w:rsidRPr="00344A5F" w:rsidRDefault="00F737C1" w:rsidP="00344A5F">
      <w:pPr>
        <w:numPr>
          <w:ilvl w:val="0"/>
          <w:numId w:val="23"/>
        </w:numPr>
        <w:jc w:val="both"/>
        <w:rPr>
          <w:b/>
          <w:caps/>
          <w:lang w:val="en-CA"/>
        </w:rPr>
      </w:pPr>
      <w:r w:rsidRPr="0011626D">
        <w:rPr>
          <w:bCs/>
        </w:rPr>
        <w:t xml:space="preserve">Forced </w:t>
      </w:r>
      <w:r>
        <w:rPr>
          <w:bCs/>
        </w:rPr>
        <w:t>S</w:t>
      </w:r>
      <w:r w:rsidRPr="0011626D">
        <w:rPr>
          <w:bCs/>
        </w:rPr>
        <w:t>terilization emergency prophylactic treatment for HIV/AIDS and other sexual</w:t>
      </w:r>
      <w:r>
        <w:rPr>
          <w:bCs/>
        </w:rPr>
        <w:t>ly</w:t>
      </w:r>
      <w:r w:rsidRPr="0011626D">
        <w:rPr>
          <w:bCs/>
        </w:rPr>
        <w:t xml:space="preserve"> transmitted diseases did not receive any attention in the response.</w:t>
      </w:r>
    </w:p>
    <w:p w:rsidR="00F737C1" w:rsidRDefault="00F737C1" w:rsidP="00344A5F">
      <w:pPr>
        <w:jc w:val="both"/>
        <w:rPr>
          <w:b/>
          <w:caps/>
          <w:lang w:val="en-CA"/>
        </w:rPr>
      </w:pPr>
    </w:p>
    <w:p w:rsidR="00F737C1" w:rsidRDefault="00F737C1" w:rsidP="00344A5F">
      <w:pPr>
        <w:numPr>
          <w:ilvl w:val="0"/>
          <w:numId w:val="23"/>
        </w:numPr>
        <w:jc w:val="both"/>
        <w:rPr>
          <w:b/>
          <w:caps/>
          <w:lang w:val="en-CA"/>
        </w:rPr>
      </w:pPr>
      <w:r w:rsidRPr="0011626D">
        <w:rPr>
          <w:bCs/>
        </w:rPr>
        <w:t>Although awareness and  prevention campaigns on violence against women and knowledge and promotion of their rights  have not been highlighted as present in any of the existing laws, the country has undertaken a number of activities to address gender -</w:t>
      </w:r>
      <w:r w:rsidRPr="0011626D">
        <w:rPr>
          <w:bCs/>
        </w:rPr>
        <w:lastRenderedPageBreak/>
        <w:t xml:space="preserve">based violence, among which are training for responders to VAW, public sensitization and education. </w:t>
      </w:r>
    </w:p>
    <w:p w:rsidR="00F737C1" w:rsidRDefault="00F737C1" w:rsidP="00344A5F">
      <w:pPr>
        <w:jc w:val="both"/>
        <w:rPr>
          <w:bCs/>
        </w:rPr>
      </w:pPr>
    </w:p>
    <w:p w:rsidR="00F737C1" w:rsidRPr="00344A5F" w:rsidRDefault="00F737C1" w:rsidP="00344A5F">
      <w:pPr>
        <w:numPr>
          <w:ilvl w:val="0"/>
          <w:numId w:val="23"/>
        </w:numPr>
        <w:jc w:val="both"/>
        <w:rPr>
          <w:b/>
          <w:caps/>
          <w:lang w:val="en-CA"/>
        </w:rPr>
      </w:pPr>
      <w:r w:rsidRPr="0011626D">
        <w:rPr>
          <w:bCs/>
        </w:rPr>
        <w:t>There is no specific provision for reparation of victims</w:t>
      </w:r>
      <w:r>
        <w:rPr>
          <w:bCs/>
        </w:rPr>
        <w:t>.</w:t>
      </w:r>
    </w:p>
    <w:p w:rsidR="00F737C1" w:rsidRDefault="00F737C1" w:rsidP="00344A5F">
      <w:pPr>
        <w:jc w:val="both"/>
        <w:rPr>
          <w:b/>
          <w:caps/>
          <w:lang w:val="en-CA"/>
        </w:rPr>
      </w:pPr>
    </w:p>
    <w:p w:rsidR="00F737C1" w:rsidRDefault="00F737C1" w:rsidP="00344A5F">
      <w:pPr>
        <w:ind w:firstLine="720"/>
        <w:jc w:val="both"/>
        <w:rPr>
          <w:b/>
          <w:lang w:val="en-CA"/>
        </w:rPr>
      </w:pPr>
      <w:r w:rsidRPr="0011626D">
        <w:rPr>
          <w:b/>
          <w:lang w:val="en-CA"/>
        </w:rPr>
        <w:t>Qualitative Signs of Progress</w:t>
      </w:r>
    </w:p>
    <w:p w:rsidR="00F737C1" w:rsidRDefault="00F737C1" w:rsidP="00344A5F">
      <w:pPr>
        <w:jc w:val="both"/>
        <w:rPr>
          <w:lang w:val="en-CA"/>
        </w:rPr>
      </w:pPr>
    </w:p>
    <w:p w:rsidR="00F737C1" w:rsidRPr="00344A5F" w:rsidRDefault="00F737C1" w:rsidP="00344A5F">
      <w:pPr>
        <w:numPr>
          <w:ilvl w:val="0"/>
          <w:numId w:val="23"/>
        </w:numPr>
        <w:jc w:val="both"/>
        <w:rPr>
          <w:b/>
          <w:caps/>
          <w:lang w:val="en-CA"/>
        </w:rPr>
      </w:pPr>
      <w:r w:rsidRPr="0011626D">
        <w:rPr>
          <w:lang w:val="en-CA"/>
        </w:rPr>
        <w:t>The signs of progress stated are:</w:t>
      </w:r>
    </w:p>
    <w:p w:rsidR="00F737C1" w:rsidRDefault="00F737C1" w:rsidP="00344A5F">
      <w:pPr>
        <w:jc w:val="both"/>
        <w:rPr>
          <w:lang w:val="en-CA"/>
        </w:rPr>
      </w:pPr>
    </w:p>
    <w:p w:rsidR="00F737C1" w:rsidRPr="0011626D" w:rsidRDefault="00F737C1" w:rsidP="00344A5F">
      <w:pPr>
        <w:pStyle w:val="ListParagraph"/>
        <w:numPr>
          <w:ilvl w:val="0"/>
          <w:numId w:val="12"/>
        </w:numPr>
        <w:tabs>
          <w:tab w:val="left" w:pos="360"/>
          <w:tab w:val="left" w:pos="1440"/>
        </w:tabs>
        <w:spacing w:after="120"/>
        <w:ind w:left="1440"/>
        <w:contextualSpacing w:val="0"/>
        <w:jc w:val="both"/>
        <w:rPr>
          <w:bCs/>
        </w:rPr>
      </w:pPr>
      <w:r w:rsidRPr="0011626D">
        <w:rPr>
          <w:bCs/>
        </w:rPr>
        <w:t>20 civil society organization</w:t>
      </w:r>
      <w:r>
        <w:rPr>
          <w:bCs/>
        </w:rPr>
        <w:t>s</w:t>
      </w:r>
      <w:r w:rsidRPr="0011626D">
        <w:rPr>
          <w:bCs/>
        </w:rPr>
        <w:t xml:space="preserve"> involved in the promotion and protection of the right to life. These </w:t>
      </w:r>
      <w:proofErr w:type="spellStart"/>
      <w:r w:rsidRPr="0011626D">
        <w:rPr>
          <w:bCs/>
        </w:rPr>
        <w:t>CSOs</w:t>
      </w:r>
      <w:proofErr w:type="spellEnd"/>
      <w:r w:rsidRPr="0011626D">
        <w:rPr>
          <w:bCs/>
        </w:rPr>
        <w:t xml:space="preserve"> participate in the formulation, implementation and monitoring of laws, policies and actions dealing with violence against women. </w:t>
      </w:r>
    </w:p>
    <w:p w:rsidR="00F737C1" w:rsidRPr="0011626D" w:rsidRDefault="00F737C1" w:rsidP="00344A5F">
      <w:pPr>
        <w:pStyle w:val="ListParagraph"/>
        <w:numPr>
          <w:ilvl w:val="0"/>
          <w:numId w:val="12"/>
        </w:numPr>
        <w:tabs>
          <w:tab w:val="left" w:pos="360"/>
          <w:tab w:val="left" w:pos="1440"/>
        </w:tabs>
        <w:spacing w:after="120"/>
        <w:ind w:left="1440"/>
        <w:contextualSpacing w:val="0"/>
        <w:jc w:val="both"/>
        <w:rPr>
          <w:bCs/>
        </w:rPr>
      </w:pPr>
      <w:r w:rsidRPr="0011626D">
        <w:rPr>
          <w:bCs/>
        </w:rPr>
        <w:t xml:space="preserve">Capacity building of civil society groups by providing government subventions to some of them </w:t>
      </w:r>
    </w:p>
    <w:p w:rsidR="00F737C1" w:rsidRPr="008A4E25" w:rsidRDefault="00F737C1" w:rsidP="00344A5F">
      <w:pPr>
        <w:pStyle w:val="ListParagraph"/>
        <w:numPr>
          <w:ilvl w:val="0"/>
          <w:numId w:val="12"/>
        </w:numPr>
        <w:tabs>
          <w:tab w:val="left" w:pos="360"/>
          <w:tab w:val="left" w:pos="1440"/>
        </w:tabs>
        <w:spacing w:after="120"/>
        <w:ind w:left="1440"/>
        <w:contextualSpacing w:val="0"/>
        <w:jc w:val="both"/>
        <w:rPr>
          <w:bCs/>
        </w:rPr>
      </w:pPr>
      <w:r w:rsidRPr="008A4E25">
        <w:rPr>
          <w:bCs/>
        </w:rPr>
        <w:t xml:space="preserve">Consultations on specific matters </w:t>
      </w:r>
    </w:p>
    <w:p w:rsidR="00F737C1" w:rsidRPr="008A4E25" w:rsidRDefault="00F737C1" w:rsidP="00344A5F">
      <w:pPr>
        <w:pStyle w:val="ListParagraph"/>
        <w:numPr>
          <w:ilvl w:val="0"/>
          <w:numId w:val="12"/>
        </w:numPr>
        <w:tabs>
          <w:tab w:val="left" w:pos="360"/>
          <w:tab w:val="left" w:pos="1440"/>
        </w:tabs>
        <w:spacing w:after="120"/>
        <w:ind w:left="1440"/>
        <w:contextualSpacing w:val="0"/>
        <w:jc w:val="both"/>
        <w:rPr>
          <w:bCs/>
        </w:rPr>
      </w:pPr>
      <w:r w:rsidRPr="008A4E25">
        <w:rPr>
          <w:bCs/>
        </w:rPr>
        <w:t xml:space="preserve">Involvement in planning committees </w:t>
      </w:r>
    </w:p>
    <w:p w:rsidR="00F737C1" w:rsidRPr="00CE1AAC" w:rsidRDefault="00F737C1" w:rsidP="00344A5F">
      <w:pPr>
        <w:pStyle w:val="ListParagraph"/>
        <w:numPr>
          <w:ilvl w:val="0"/>
          <w:numId w:val="12"/>
        </w:numPr>
        <w:tabs>
          <w:tab w:val="left" w:pos="360"/>
          <w:tab w:val="left" w:pos="1440"/>
        </w:tabs>
        <w:spacing w:after="120"/>
        <w:ind w:left="1440"/>
        <w:contextualSpacing w:val="0"/>
        <w:jc w:val="both"/>
        <w:rPr>
          <w:bCs/>
        </w:rPr>
      </w:pPr>
      <w:r w:rsidRPr="00CE1AAC">
        <w:rPr>
          <w:bCs/>
        </w:rPr>
        <w:t xml:space="preserve">Representation on Boards of Management, such as the Shelter for Abused Women </w:t>
      </w:r>
    </w:p>
    <w:p w:rsidR="00F737C1" w:rsidRPr="00C110F4" w:rsidRDefault="00F737C1" w:rsidP="00344A5F">
      <w:pPr>
        <w:pStyle w:val="ListParagraph"/>
        <w:numPr>
          <w:ilvl w:val="0"/>
          <w:numId w:val="12"/>
        </w:numPr>
        <w:tabs>
          <w:tab w:val="left" w:pos="360"/>
          <w:tab w:val="left" w:pos="1440"/>
        </w:tabs>
        <w:spacing w:after="120"/>
        <w:ind w:left="1440"/>
        <w:contextualSpacing w:val="0"/>
        <w:jc w:val="both"/>
        <w:rPr>
          <w:bCs/>
        </w:rPr>
      </w:pPr>
      <w:r w:rsidRPr="00CE1AAC">
        <w:rPr>
          <w:bCs/>
        </w:rPr>
        <w:t>Sub-contracting NGOs for specific services under government projects</w:t>
      </w:r>
    </w:p>
    <w:p w:rsidR="00F737C1" w:rsidRPr="00BA4BFB" w:rsidRDefault="00F737C1" w:rsidP="00344A5F">
      <w:pPr>
        <w:pStyle w:val="ListParagraph"/>
        <w:numPr>
          <w:ilvl w:val="0"/>
          <w:numId w:val="12"/>
        </w:numPr>
        <w:tabs>
          <w:tab w:val="left" w:pos="360"/>
          <w:tab w:val="left" w:pos="1440"/>
        </w:tabs>
        <w:spacing w:after="120"/>
        <w:ind w:left="1440"/>
        <w:contextualSpacing w:val="0"/>
        <w:jc w:val="both"/>
        <w:rPr>
          <w:bCs/>
        </w:rPr>
      </w:pPr>
      <w:r w:rsidRPr="00BA4BFB">
        <w:rPr>
          <w:bCs/>
        </w:rPr>
        <w:t xml:space="preserve">Receiving and considering suggestions made by civil society bodies </w:t>
      </w:r>
    </w:p>
    <w:p w:rsidR="00F737C1" w:rsidRPr="0011626D" w:rsidRDefault="00F737C1" w:rsidP="00344A5F">
      <w:pPr>
        <w:pStyle w:val="ListParagraph"/>
        <w:numPr>
          <w:ilvl w:val="0"/>
          <w:numId w:val="12"/>
        </w:numPr>
        <w:tabs>
          <w:tab w:val="left" w:pos="360"/>
          <w:tab w:val="left" w:pos="1440"/>
        </w:tabs>
        <w:spacing w:after="120"/>
        <w:ind w:left="1440"/>
        <w:contextualSpacing w:val="0"/>
        <w:jc w:val="both"/>
        <w:rPr>
          <w:bCs/>
        </w:rPr>
      </w:pPr>
      <w:r w:rsidRPr="00C456CB">
        <w:rPr>
          <w:bCs/>
        </w:rPr>
        <w:t xml:space="preserve">Participation in public activities with civil society bodies </w:t>
      </w:r>
    </w:p>
    <w:p w:rsidR="00F737C1" w:rsidRPr="00344A5F" w:rsidRDefault="00F737C1" w:rsidP="00344A5F">
      <w:pPr>
        <w:jc w:val="both"/>
        <w:rPr>
          <w:b/>
          <w:caps/>
        </w:rPr>
      </w:pPr>
    </w:p>
    <w:p w:rsidR="00F737C1" w:rsidRDefault="00F737C1" w:rsidP="00344A5F">
      <w:pPr>
        <w:jc w:val="both"/>
        <w:rPr>
          <w:b/>
          <w:caps/>
          <w:lang w:val="en-CA"/>
        </w:rPr>
      </w:pPr>
      <w:r w:rsidRPr="0011626D">
        <w:rPr>
          <w:b/>
          <w:lang w:val="en-CA"/>
        </w:rPr>
        <w:t>Process</w:t>
      </w:r>
    </w:p>
    <w:p w:rsidR="00F737C1" w:rsidRPr="00344A5F" w:rsidRDefault="00F737C1" w:rsidP="00344A5F">
      <w:pPr>
        <w:numPr>
          <w:ilvl w:val="0"/>
          <w:numId w:val="23"/>
        </w:numPr>
        <w:jc w:val="both"/>
        <w:rPr>
          <w:b/>
          <w:caps/>
          <w:lang w:val="en-CA"/>
        </w:rPr>
      </w:pPr>
      <w:r w:rsidRPr="0011626D">
        <w:rPr>
          <w:lang w:val="en-CA"/>
        </w:rPr>
        <w:t>A steering Committee formed by the GNOW to monitor services for VAW. How the monitoring is done is not reported. The process involved in the making and amending of the legislations was not specified.</w:t>
      </w:r>
    </w:p>
    <w:p w:rsidR="00F737C1" w:rsidRDefault="00F737C1" w:rsidP="00344A5F">
      <w:pPr>
        <w:jc w:val="both"/>
        <w:rPr>
          <w:b/>
          <w:caps/>
          <w:lang w:val="en-CA"/>
        </w:rPr>
      </w:pPr>
    </w:p>
    <w:p w:rsidR="00F737C1" w:rsidRDefault="00F737C1" w:rsidP="00344A5F">
      <w:pPr>
        <w:jc w:val="both"/>
        <w:rPr>
          <w:b/>
          <w:caps/>
          <w:lang w:val="en-CA"/>
        </w:rPr>
      </w:pPr>
      <w:r w:rsidRPr="0011626D">
        <w:rPr>
          <w:b/>
          <w:lang w:val="en-CA"/>
        </w:rPr>
        <w:t>Result</w:t>
      </w:r>
    </w:p>
    <w:p w:rsidR="00F737C1" w:rsidRDefault="00F737C1" w:rsidP="00344A5F">
      <w:pPr>
        <w:jc w:val="both"/>
        <w:rPr>
          <w:bCs/>
        </w:rPr>
      </w:pPr>
    </w:p>
    <w:p w:rsidR="00F737C1" w:rsidRPr="00344A5F" w:rsidRDefault="00F737C1" w:rsidP="00344A5F">
      <w:pPr>
        <w:numPr>
          <w:ilvl w:val="0"/>
          <w:numId w:val="23"/>
        </w:numPr>
        <w:jc w:val="both"/>
        <w:rPr>
          <w:b/>
          <w:caps/>
          <w:lang w:val="en-CA"/>
        </w:rPr>
      </w:pPr>
      <w:r w:rsidRPr="0011626D">
        <w:rPr>
          <w:bCs/>
        </w:rPr>
        <w:t>The result and processes do not relate to the indicators. The lone result on legislation was that n</w:t>
      </w:r>
      <w:r w:rsidRPr="0011626D">
        <w:rPr>
          <w:lang w:val="en-CA"/>
        </w:rPr>
        <w:t xml:space="preserve">o study or survey was done on the prevalence of any form of VAW. </w:t>
      </w:r>
    </w:p>
    <w:p w:rsidR="00F737C1" w:rsidRDefault="00F737C1" w:rsidP="00344A5F">
      <w:pPr>
        <w:jc w:val="both"/>
        <w:rPr>
          <w:lang w:val="en-CA"/>
        </w:rPr>
      </w:pPr>
    </w:p>
    <w:p w:rsidR="00F737C1" w:rsidRPr="0011626D" w:rsidRDefault="00F737C1" w:rsidP="00344A5F">
      <w:pPr>
        <w:pStyle w:val="ListParagraph"/>
        <w:numPr>
          <w:ilvl w:val="0"/>
          <w:numId w:val="1"/>
        </w:numPr>
        <w:ind w:left="720"/>
        <w:jc w:val="both"/>
        <w:rPr>
          <w:b/>
          <w:lang w:val="en-CA"/>
        </w:rPr>
      </w:pPr>
      <w:r w:rsidRPr="0011626D">
        <w:rPr>
          <w:b/>
          <w:lang w:val="en-CA"/>
        </w:rPr>
        <w:t>Basic Financial Context and Budget Commitments</w:t>
      </w:r>
    </w:p>
    <w:p w:rsidR="00F737C1" w:rsidRDefault="00F737C1" w:rsidP="00344A5F">
      <w:pPr>
        <w:jc w:val="both"/>
        <w:rPr>
          <w:b/>
          <w:caps/>
          <w:lang w:val="en-CA"/>
        </w:rPr>
      </w:pPr>
    </w:p>
    <w:p w:rsidR="00F737C1" w:rsidRPr="00344A5F" w:rsidRDefault="00F737C1" w:rsidP="00344A5F">
      <w:pPr>
        <w:numPr>
          <w:ilvl w:val="0"/>
          <w:numId w:val="23"/>
        </w:numPr>
        <w:jc w:val="both"/>
        <w:rPr>
          <w:b/>
          <w:caps/>
          <w:lang w:val="en-CA"/>
        </w:rPr>
      </w:pPr>
      <w:r w:rsidRPr="0011626D">
        <w:rPr>
          <w:lang w:val="en-CA"/>
        </w:rPr>
        <w:t>Budget is allocated to support social agencies such as the Gender Affairs Division and the Ministry of Social Development that programme for violence against woman.</w:t>
      </w:r>
    </w:p>
    <w:p w:rsidR="00F737C1" w:rsidRDefault="00F737C1" w:rsidP="00344A5F">
      <w:pPr>
        <w:jc w:val="both"/>
        <w:rPr>
          <w:b/>
          <w:caps/>
          <w:lang w:val="en-CA"/>
        </w:rPr>
      </w:pPr>
    </w:p>
    <w:p w:rsidR="00F737C1" w:rsidRDefault="00F737C1" w:rsidP="00344A5F">
      <w:pPr>
        <w:numPr>
          <w:ilvl w:val="0"/>
          <w:numId w:val="23"/>
        </w:numPr>
        <w:jc w:val="both"/>
        <w:rPr>
          <w:b/>
          <w:caps/>
          <w:lang w:val="en-CA"/>
        </w:rPr>
      </w:pPr>
      <w:r w:rsidRPr="0011626D">
        <w:rPr>
          <w:lang w:val="en-CA"/>
        </w:rPr>
        <w:t>The report provided data on the Budgetary Allocation to VAW (capital expenditure) for the period 2007-2011. The recurrent expenditure for this period was not provided.</w:t>
      </w:r>
    </w:p>
    <w:p w:rsidR="00F737C1" w:rsidRDefault="00F737C1" w:rsidP="00344A5F">
      <w:pPr>
        <w:jc w:val="both"/>
        <w:rPr>
          <w:lang w:val="en-CA"/>
        </w:rPr>
      </w:pPr>
    </w:p>
    <w:p w:rsidR="00F737C1" w:rsidRDefault="00F737C1" w:rsidP="00344A5F">
      <w:pPr>
        <w:numPr>
          <w:ilvl w:val="0"/>
          <w:numId w:val="23"/>
        </w:numPr>
        <w:jc w:val="both"/>
        <w:rPr>
          <w:b/>
          <w:caps/>
          <w:lang w:val="en-CA"/>
        </w:rPr>
      </w:pPr>
      <w:r w:rsidRPr="0011626D">
        <w:rPr>
          <w:lang w:val="en-CA"/>
        </w:rPr>
        <w:lastRenderedPageBreak/>
        <w:t>Subvention to the Legal Aid Clinic seems the only direct allocation to an entity associated with legislation. It is noteworthy that the budget allocation to the judiciary and those associated with the formulation and passing of legislation was not made available.</w:t>
      </w:r>
    </w:p>
    <w:p w:rsidR="00F737C1" w:rsidRDefault="00F737C1" w:rsidP="00344A5F">
      <w:pPr>
        <w:jc w:val="both"/>
        <w:rPr>
          <w:b/>
          <w:lang w:val="en-CA"/>
        </w:rPr>
      </w:pPr>
    </w:p>
    <w:p w:rsidR="00F737C1" w:rsidRDefault="00F737C1" w:rsidP="00344A5F">
      <w:pPr>
        <w:jc w:val="both"/>
        <w:rPr>
          <w:lang w:val="en-CA"/>
        </w:rPr>
      </w:pPr>
      <w:r w:rsidRPr="0011626D">
        <w:rPr>
          <w:b/>
          <w:lang w:val="en-CA"/>
        </w:rPr>
        <w:t>Qualitative signs of progress</w:t>
      </w:r>
    </w:p>
    <w:p w:rsidR="00F737C1" w:rsidRDefault="00F737C1" w:rsidP="00344A5F">
      <w:pPr>
        <w:numPr>
          <w:ilvl w:val="0"/>
          <w:numId w:val="23"/>
        </w:numPr>
        <w:jc w:val="both"/>
        <w:rPr>
          <w:b/>
          <w:caps/>
          <w:lang w:val="en-CA"/>
        </w:rPr>
      </w:pPr>
      <w:r w:rsidRPr="0011626D">
        <w:rPr>
          <w:lang w:val="en-CA"/>
        </w:rPr>
        <w:t>No response given</w:t>
      </w:r>
      <w:r>
        <w:rPr>
          <w:b/>
          <w:caps/>
          <w:lang w:val="en-CA"/>
        </w:rPr>
        <w:t>.</w:t>
      </w:r>
    </w:p>
    <w:p w:rsidR="00F737C1" w:rsidRDefault="00F737C1" w:rsidP="00344A5F">
      <w:pPr>
        <w:jc w:val="both"/>
        <w:rPr>
          <w:b/>
          <w:lang w:val="en-CA"/>
        </w:rPr>
      </w:pPr>
    </w:p>
    <w:p w:rsidR="00F737C1" w:rsidRDefault="00F737C1" w:rsidP="00344A5F">
      <w:pPr>
        <w:jc w:val="both"/>
        <w:rPr>
          <w:lang w:val="en-CA"/>
        </w:rPr>
      </w:pPr>
      <w:r w:rsidRPr="0011626D">
        <w:rPr>
          <w:b/>
          <w:lang w:val="en-CA"/>
        </w:rPr>
        <w:t>Process</w:t>
      </w:r>
    </w:p>
    <w:p w:rsidR="00F737C1" w:rsidRDefault="00F737C1" w:rsidP="00344A5F">
      <w:pPr>
        <w:numPr>
          <w:ilvl w:val="0"/>
          <w:numId w:val="23"/>
        </w:numPr>
        <w:jc w:val="both"/>
        <w:rPr>
          <w:b/>
          <w:caps/>
          <w:lang w:val="en-CA"/>
        </w:rPr>
      </w:pPr>
      <w:r w:rsidRPr="0011626D">
        <w:rPr>
          <w:lang w:val="en-CA"/>
        </w:rPr>
        <w:t>No response given</w:t>
      </w:r>
      <w:r>
        <w:rPr>
          <w:b/>
          <w:caps/>
          <w:lang w:val="en-CA"/>
        </w:rPr>
        <w:t>.</w:t>
      </w:r>
    </w:p>
    <w:p w:rsidR="00F737C1" w:rsidRDefault="00F737C1" w:rsidP="00344A5F">
      <w:pPr>
        <w:jc w:val="both"/>
        <w:rPr>
          <w:b/>
          <w:lang w:val="en-CA"/>
        </w:rPr>
      </w:pPr>
    </w:p>
    <w:p w:rsidR="00F737C1" w:rsidRDefault="00F737C1" w:rsidP="00344A5F">
      <w:pPr>
        <w:jc w:val="both"/>
        <w:rPr>
          <w:lang w:val="en-CA"/>
        </w:rPr>
      </w:pPr>
      <w:r w:rsidRPr="0011626D">
        <w:rPr>
          <w:b/>
          <w:lang w:val="en-CA"/>
        </w:rPr>
        <w:t>Result</w:t>
      </w:r>
    </w:p>
    <w:p w:rsidR="00F737C1" w:rsidRPr="00344A5F" w:rsidRDefault="00F737C1" w:rsidP="00344A5F">
      <w:pPr>
        <w:numPr>
          <w:ilvl w:val="0"/>
          <w:numId w:val="23"/>
        </w:numPr>
        <w:jc w:val="both"/>
        <w:rPr>
          <w:b/>
          <w:caps/>
          <w:lang w:val="en-CA"/>
        </w:rPr>
      </w:pPr>
      <w:r w:rsidRPr="0011626D">
        <w:rPr>
          <w:lang w:val="en-CA"/>
        </w:rPr>
        <w:t>No response given</w:t>
      </w:r>
      <w:r>
        <w:rPr>
          <w:lang w:val="en-CA"/>
        </w:rPr>
        <w:t>.</w:t>
      </w:r>
    </w:p>
    <w:p w:rsidR="00F737C1" w:rsidRDefault="00F737C1" w:rsidP="00344A5F">
      <w:pPr>
        <w:jc w:val="both"/>
        <w:rPr>
          <w:lang w:val="en-CA"/>
        </w:rPr>
      </w:pPr>
    </w:p>
    <w:p w:rsidR="00F737C1" w:rsidRPr="0011626D" w:rsidRDefault="00F737C1" w:rsidP="00344A5F">
      <w:pPr>
        <w:pStyle w:val="ListParagraph"/>
        <w:numPr>
          <w:ilvl w:val="0"/>
          <w:numId w:val="1"/>
        </w:numPr>
        <w:ind w:left="720"/>
        <w:jc w:val="both"/>
        <w:rPr>
          <w:lang w:val="en-CA"/>
        </w:rPr>
      </w:pPr>
      <w:r w:rsidRPr="0011626D">
        <w:rPr>
          <w:b/>
          <w:lang w:val="en-CA"/>
        </w:rPr>
        <w:t>State Capabilities</w:t>
      </w:r>
      <w:r w:rsidRPr="0011626D">
        <w:rPr>
          <w:lang w:val="en-CA"/>
        </w:rPr>
        <w:t xml:space="preserve"> </w:t>
      </w:r>
    </w:p>
    <w:p w:rsidR="00F737C1" w:rsidRDefault="00F737C1" w:rsidP="00344A5F">
      <w:pPr>
        <w:jc w:val="both"/>
        <w:rPr>
          <w:b/>
          <w:caps/>
          <w:lang w:val="en-CA"/>
        </w:rPr>
      </w:pPr>
    </w:p>
    <w:p w:rsidR="00F737C1" w:rsidRPr="00344A5F" w:rsidRDefault="00F737C1" w:rsidP="00344A5F">
      <w:pPr>
        <w:numPr>
          <w:ilvl w:val="0"/>
          <w:numId w:val="23"/>
        </w:numPr>
        <w:jc w:val="both"/>
        <w:rPr>
          <w:b/>
          <w:caps/>
          <w:lang w:val="en-CA"/>
        </w:rPr>
      </w:pPr>
      <w:r w:rsidRPr="0011626D">
        <w:rPr>
          <w:lang w:val="en-CA"/>
        </w:rPr>
        <w:t xml:space="preserve"> “</w:t>
      </w:r>
      <w:r w:rsidRPr="0011626D">
        <w:rPr>
          <w:color w:val="000000"/>
          <w:lang w:val="en-CA"/>
        </w:rPr>
        <w:t xml:space="preserve">The National Domestic Violence and Sexual Abuse Protocol (2011) provide guidelines to responders in their interventions to address incidents and manage cases of Domestic and Sexual Violence.  The sectors identified to form the coordinated and integrated response mechanism are the law enforcement, health care, social service, and legal service sectors as key responders to deal with domestic violence and sexual abuse.  The Protocol also identifies the role of the Ombudsman in the process of holding agents of the State, as duty-bearers, accountable.  In demonstrating the significance placed on this Protocol, the Ministers for each of the sectors, including the Prime Minister as Minister for National Security and Legal Affairs, publicly signed the Protocol into force on May 16, 2011”. </w:t>
      </w:r>
    </w:p>
    <w:p w:rsidR="00F737C1" w:rsidRDefault="00F737C1" w:rsidP="00344A5F">
      <w:pPr>
        <w:jc w:val="both"/>
        <w:rPr>
          <w:b/>
          <w:caps/>
          <w:lang w:val="en-CA"/>
        </w:rPr>
      </w:pPr>
    </w:p>
    <w:p w:rsidR="00F737C1" w:rsidRDefault="00F737C1" w:rsidP="0081505F">
      <w:pPr>
        <w:numPr>
          <w:ilvl w:val="0"/>
          <w:numId w:val="23"/>
        </w:numPr>
        <w:jc w:val="both"/>
        <w:rPr>
          <w:b/>
          <w:caps/>
          <w:lang w:val="en-CA"/>
        </w:rPr>
      </w:pPr>
      <w:r w:rsidRPr="0011626D">
        <w:rPr>
          <w:color w:val="000000"/>
          <w:lang w:val="en-CA"/>
        </w:rPr>
        <w:t xml:space="preserve">Note that the National Domestic Violence and Sexual Abuse Protocol (2011) </w:t>
      </w:r>
      <w:proofErr w:type="gramStart"/>
      <w:r w:rsidRPr="0011626D">
        <w:rPr>
          <w:color w:val="000000"/>
          <w:lang w:val="en-CA"/>
        </w:rPr>
        <w:t>is</w:t>
      </w:r>
      <w:proofErr w:type="gramEnd"/>
      <w:r w:rsidRPr="0011626D">
        <w:rPr>
          <w:color w:val="000000"/>
          <w:lang w:val="en-CA"/>
        </w:rPr>
        <w:t xml:space="preserve"> also reported as a process under national plans.</w:t>
      </w:r>
    </w:p>
    <w:p w:rsidR="00F737C1" w:rsidRDefault="00F737C1" w:rsidP="0081505F">
      <w:pPr>
        <w:jc w:val="both"/>
        <w:rPr>
          <w:color w:val="000000"/>
          <w:lang w:val="en-CA"/>
        </w:rPr>
      </w:pPr>
    </w:p>
    <w:p w:rsidR="00F737C1" w:rsidRDefault="00F737C1" w:rsidP="0081505F">
      <w:pPr>
        <w:numPr>
          <w:ilvl w:val="0"/>
          <w:numId w:val="23"/>
        </w:numPr>
        <w:jc w:val="both"/>
        <w:rPr>
          <w:b/>
          <w:caps/>
          <w:lang w:val="en-CA"/>
        </w:rPr>
      </w:pPr>
      <w:r w:rsidRPr="0011626D">
        <w:rPr>
          <w:color w:val="000000"/>
          <w:lang w:val="en-CA"/>
        </w:rPr>
        <w:t>Standard Operating Procedures exist for interaction between the Ministry of Social Development and victims and persons affected by gender-based violence. One has been approved for health.</w:t>
      </w:r>
    </w:p>
    <w:p w:rsidR="00F737C1" w:rsidRDefault="00F737C1" w:rsidP="0081505F">
      <w:pPr>
        <w:jc w:val="both"/>
        <w:rPr>
          <w:b/>
          <w:lang w:val="en-CA"/>
        </w:rPr>
      </w:pPr>
    </w:p>
    <w:p w:rsidR="00F737C1" w:rsidRDefault="00F737C1" w:rsidP="0081505F">
      <w:pPr>
        <w:jc w:val="both"/>
        <w:rPr>
          <w:lang w:val="en-CA"/>
        </w:rPr>
      </w:pPr>
      <w:r w:rsidRPr="0011626D">
        <w:rPr>
          <w:b/>
          <w:lang w:val="en-CA"/>
        </w:rPr>
        <w:t>Qualitative signs of progress</w:t>
      </w:r>
    </w:p>
    <w:p w:rsidR="00F737C1" w:rsidRDefault="00F737C1" w:rsidP="0081505F">
      <w:pPr>
        <w:numPr>
          <w:ilvl w:val="0"/>
          <w:numId w:val="23"/>
        </w:numPr>
        <w:jc w:val="both"/>
        <w:rPr>
          <w:b/>
          <w:caps/>
          <w:lang w:val="en-CA"/>
        </w:rPr>
      </w:pPr>
      <w:r w:rsidRPr="0011626D">
        <w:rPr>
          <w:lang w:val="en-CA"/>
        </w:rPr>
        <w:t>No response given</w:t>
      </w:r>
      <w:r>
        <w:rPr>
          <w:b/>
          <w:caps/>
          <w:lang w:val="en-CA"/>
        </w:rPr>
        <w:t>.</w:t>
      </w:r>
    </w:p>
    <w:p w:rsidR="00F737C1" w:rsidRDefault="00F737C1" w:rsidP="0081505F">
      <w:pPr>
        <w:jc w:val="both"/>
        <w:rPr>
          <w:b/>
          <w:lang w:val="en-CA"/>
        </w:rPr>
      </w:pPr>
    </w:p>
    <w:p w:rsidR="00F737C1" w:rsidRDefault="00F737C1" w:rsidP="0081505F">
      <w:pPr>
        <w:jc w:val="both"/>
        <w:rPr>
          <w:lang w:val="en-CA"/>
        </w:rPr>
      </w:pPr>
      <w:r w:rsidRPr="0011626D">
        <w:rPr>
          <w:b/>
          <w:lang w:val="en-CA"/>
        </w:rPr>
        <w:t>Process</w:t>
      </w:r>
    </w:p>
    <w:p w:rsidR="00F737C1" w:rsidRDefault="00F737C1" w:rsidP="0081505F">
      <w:pPr>
        <w:numPr>
          <w:ilvl w:val="0"/>
          <w:numId w:val="23"/>
        </w:numPr>
        <w:jc w:val="both"/>
        <w:rPr>
          <w:b/>
          <w:caps/>
          <w:lang w:val="en-CA"/>
        </w:rPr>
      </w:pPr>
      <w:r w:rsidRPr="0011626D">
        <w:rPr>
          <w:lang w:val="en-CA"/>
        </w:rPr>
        <w:t>The National Domestic Violence and Sexual Abuse Protocol (2011 was the result of collaboration between civil society and government. It was initiated by GNOW and supported by the Ministry of National Mobilisation and other stakeholders.</w:t>
      </w:r>
    </w:p>
    <w:p w:rsidR="00F737C1" w:rsidRDefault="00F737C1" w:rsidP="0081505F">
      <w:pPr>
        <w:jc w:val="both"/>
        <w:rPr>
          <w:b/>
          <w:lang w:val="en-CA"/>
        </w:rPr>
      </w:pPr>
    </w:p>
    <w:p w:rsidR="00F737C1" w:rsidRDefault="00F737C1" w:rsidP="0081505F">
      <w:pPr>
        <w:jc w:val="both"/>
        <w:rPr>
          <w:lang w:val="en-CA"/>
        </w:rPr>
      </w:pPr>
      <w:r w:rsidRPr="0011626D">
        <w:rPr>
          <w:b/>
          <w:lang w:val="en-CA"/>
        </w:rPr>
        <w:t>Result</w:t>
      </w:r>
    </w:p>
    <w:p w:rsidR="00F737C1" w:rsidRPr="0081505F" w:rsidRDefault="00F737C1" w:rsidP="0081505F">
      <w:pPr>
        <w:numPr>
          <w:ilvl w:val="0"/>
          <w:numId w:val="23"/>
        </w:numPr>
        <w:jc w:val="both"/>
        <w:rPr>
          <w:b/>
          <w:caps/>
          <w:lang w:val="en-CA"/>
        </w:rPr>
      </w:pPr>
      <w:r w:rsidRPr="0011626D">
        <w:rPr>
          <w:lang w:val="en-CA"/>
        </w:rPr>
        <w:t>No response given</w:t>
      </w:r>
      <w:r w:rsidRPr="0011626D">
        <w:rPr>
          <w:b/>
          <w:lang w:val="en-CA"/>
        </w:rPr>
        <w:t>.</w:t>
      </w:r>
    </w:p>
    <w:p w:rsidR="00F737C1" w:rsidRDefault="00F737C1" w:rsidP="0081505F">
      <w:pPr>
        <w:jc w:val="both"/>
        <w:rPr>
          <w:b/>
          <w:lang w:val="en-CA"/>
        </w:rPr>
      </w:pPr>
    </w:p>
    <w:p w:rsidR="00F737C1" w:rsidRPr="00070E6B" w:rsidRDefault="00F737C1" w:rsidP="0081505F">
      <w:pPr>
        <w:numPr>
          <w:ilvl w:val="0"/>
          <w:numId w:val="19"/>
        </w:numPr>
        <w:jc w:val="both"/>
        <w:rPr>
          <w:b/>
        </w:rPr>
      </w:pPr>
      <w:r w:rsidRPr="00070E6B">
        <w:rPr>
          <w:b/>
        </w:rPr>
        <w:lastRenderedPageBreak/>
        <w:t>NATIONAL PLANS</w:t>
      </w:r>
      <w:r>
        <w:rPr>
          <w:b/>
        </w:rPr>
        <w:t xml:space="preserve"> – Articles 1, 2, 7 and 8 </w:t>
      </w:r>
      <w:proofErr w:type="spellStart"/>
      <w:r>
        <w:rPr>
          <w:b/>
        </w:rPr>
        <w:t>c</w:t>
      </w:r>
      <w:proofErr w:type="spellEnd"/>
      <w:r>
        <w:rPr>
          <w:b/>
        </w:rPr>
        <w:t xml:space="preserve">) and d) of the </w:t>
      </w:r>
      <w:proofErr w:type="spellStart"/>
      <w:r>
        <w:rPr>
          <w:b/>
        </w:rPr>
        <w:t>Belém</w:t>
      </w:r>
      <w:proofErr w:type="spellEnd"/>
      <w:r>
        <w:rPr>
          <w:b/>
        </w:rPr>
        <w:t xml:space="preserve"> do </w:t>
      </w:r>
      <w:proofErr w:type="spellStart"/>
      <w:r>
        <w:rPr>
          <w:b/>
        </w:rPr>
        <w:t>Pará</w:t>
      </w:r>
      <w:proofErr w:type="spellEnd"/>
      <w:r>
        <w:rPr>
          <w:b/>
        </w:rPr>
        <w:t xml:space="preserve"> Convention</w:t>
      </w:r>
    </w:p>
    <w:p w:rsidR="00F737C1" w:rsidRPr="0081505F" w:rsidRDefault="00F737C1" w:rsidP="0081505F">
      <w:pPr>
        <w:jc w:val="both"/>
        <w:rPr>
          <w:b/>
          <w:caps/>
        </w:rPr>
      </w:pPr>
    </w:p>
    <w:p w:rsidR="00F737C1" w:rsidRPr="0081505F" w:rsidRDefault="00F737C1" w:rsidP="0081505F">
      <w:pPr>
        <w:numPr>
          <w:ilvl w:val="0"/>
          <w:numId w:val="23"/>
        </w:numPr>
        <w:jc w:val="both"/>
        <w:rPr>
          <w:b/>
          <w:caps/>
          <w:lang w:val="en-CA"/>
        </w:rPr>
      </w:pPr>
      <w:r w:rsidRPr="0011626D">
        <w:rPr>
          <w:lang w:val="en-CA"/>
        </w:rPr>
        <w:t>No result was provided for national plans and</w:t>
      </w:r>
      <w:r>
        <w:rPr>
          <w:lang w:val="en-CA"/>
        </w:rPr>
        <w:t xml:space="preserve"> not </w:t>
      </w:r>
      <w:r w:rsidRPr="0011626D">
        <w:rPr>
          <w:lang w:val="en-CA"/>
        </w:rPr>
        <w:t>a single process was noted.</w:t>
      </w:r>
    </w:p>
    <w:p w:rsidR="00F737C1" w:rsidRDefault="00F737C1" w:rsidP="0081505F">
      <w:pPr>
        <w:jc w:val="both"/>
        <w:rPr>
          <w:lang w:val="en-CA"/>
        </w:rPr>
      </w:pPr>
    </w:p>
    <w:p w:rsidR="00F737C1" w:rsidRPr="0011626D" w:rsidRDefault="00F737C1" w:rsidP="0081505F">
      <w:pPr>
        <w:pStyle w:val="ListParagraph"/>
        <w:numPr>
          <w:ilvl w:val="0"/>
          <w:numId w:val="3"/>
        </w:numPr>
        <w:ind w:left="720"/>
        <w:jc w:val="both"/>
        <w:rPr>
          <w:b/>
          <w:lang w:val="en-CA"/>
        </w:rPr>
      </w:pPr>
      <w:r w:rsidRPr="0011626D">
        <w:rPr>
          <w:b/>
          <w:lang w:val="en-CA"/>
        </w:rPr>
        <w:t>Formal Component (Reception of the Right)</w:t>
      </w:r>
      <w:r>
        <w:rPr>
          <w:b/>
          <w:lang w:val="en-CA"/>
        </w:rPr>
        <w:t>.</w:t>
      </w:r>
      <w:r w:rsidRPr="0011626D">
        <w:rPr>
          <w:b/>
          <w:lang w:val="en-CA"/>
        </w:rPr>
        <w:t xml:space="preserve"> </w:t>
      </w:r>
    </w:p>
    <w:p w:rsidR="00F737C1" w:rsidRDefault="00F737C1" w:rsidP="0081505F">
      <w:pPr>
        <w:jc w:val="both"/>
        <w:rPr>
          <w:b/>
          <w:caps/>
          <w:lang w:val="en-CA"/>
        </w:rPr>
      </w:pPr>
    </w:p>
    <w:p w:rsidR="00F737C1" w:rsidRPr="0081505F" w:rsidRDefault="00F737C1" w:rsidP="0081505F">
      <w:pPr>
        <w:numPr>
          <w:ilvl w:val="0"/>
          <w:numId w:val="23"/>
        </w:numPr>
        <w:jc w:val="both"/>
        <w:rPr>
          <w:b/>
          <w:caps/>
          <w:lang w:val="en-CA"/>
        </w:rPr>
      </w:pPr>
      <w:r w:rsidRPr="0011626D">
        <w:rPr>
          <w:lang w:val="en-CA"/>
        </w:rPr>
        <w:t xml:space="preserve">Grenada has a draft National Strategic Action Plan to reduce Gender- Based Violence. This plan has not been approved by Cabinet and therefore not yet implemented. However, a National Gender Policy and Action Plan with a policy statement have been approved by Cabinet. </w:t>
      </w:r>
    </w:p>
    <w:p w:rsidR="00F737C1" w:rsidRDefault="00F737C1" w:rsidP="0081505F">
      <w:pPr>
        <w:jc w:val="both"/>
        <w:rPr>
          <w:b/>
          <w:caps/>
          <w:lang w:val="en-CA"/>
        </w:rPr>
      </w:pPr>
    </w:p>
    <w:p w:rsidR="00F737C1" w:rsidRPr="0081505F" w:rsidRDefault="00F737C1" w:rsidP="0081505F">
      <w:pPr>
        <w:numPr>
          <w:ilvl w:val="0"/>
          <w:numId w:val="23"/>
        </w:numPr>
        <w:jc w:val="both"/>
        <w:rPr>
          <w:b/>
          <w:caps/>
          <w:lang w:val="en-CA"/>
        </w:rPr>
      </w:pPr>
      <w:r w:rsidRPr="0011626D">
        <w:rPr>
          <w:lang w:val="en-CA"/>
        </w:rPr>
        <w:t>The details of the Draft National Strategic Action Plan that were necessary to determine the extent to which the indicators were addressed were not stated. A response could have been made to the following indicators:</w:t>
      </w:r>
    </w:p>
    <w:p w:rsidR="00F737C1" w:rsidRDefault="00F737C1" w:rsidP="0081505F">
      <w:pPr>
        <w:jc w:val="both"/>
        <w:rPr>
          <w:b/>
          <w:caps/>
          <w:lang w:val="en-CA"/>
        </w:rPr>
      </w:pPr>
    </w:p>
    <w:p w:rsidR="00F737C1" w:rsidRPr="0011626D" w:rsidRDefault="00F737C1" w:rsidP="0081505F">
      <w:pPr>
        <w:pStyle w:val="ListParagraph"/>
        <w:numPr>
          <w:ilvl w:val="0"/>
          <w:numId w:val="15"/>
        </w:numPr>
        <w:spacing w:after="120"/>
        <w:contextualSpacing w:val="0"/>
        <w:jc w:val="both"/>
        <w:rPr>
          <w:lang w:val="en-CA"/>
        </w:rPr>
      </w:pPr>
      <w:r w:rsidRPr="0011626D">
        <w:rPr>
          <w:lang w:val="en-CA"/>
        </w:rPr>
        <w:t xml:space="preserve">Define </w:t>
      </w:r>
      <w:r>
        <w:rPr>
          <w:lang w:val="en-CA"/>
        </w:rPr>
        <w:t xml:space="preserve">and implement </w:t>
      </w:r>
      <w:r w:rsidRPr="0011626D">
        <w:rPr>
          <w:lang w:val="en-CA"/>
        </w:rPr>
        <w:t xml:space="preserve">strategies </w:t>
      </w:r>
      <w:r w:rsidRPr="009013AE">
        <w:rPr>
          <w:lang w:val="en-CA"/>
        </w:rPr>
        <w:t xml:space="preserve"> </w:t>
      </w:r>
      <w:r>
        <w:rPr>
          <w:lang w:val="en-CA"/>
        </w:rPr>
        <w:t>or</w:t>
      </w:r>
      <w:r w:rsidRPr="0011626D">
        <w:rPr>
          <w:lang w:val="en-CA"/>
        </w:rPr>
        <w:t xml:space="preserve"> action</w:t>
      </w:r>
      <w:r>
        <w:rPr>
          <w:lang w:val="en-CA"/>
        </w:rPr>
        <w:t>s</w:t>
      </w:r>
      <w:r w:rsidRPr="0011626D">
        <w:rPr>
          <w:lang w:val="en-CA"/>
        </w:rPr>
        <w:t xml:space="preserve"> relating to prevent, punish and educate  VAW  in any sector</w:t>
      </w:r>
    </w:p>
    <w:p w:rsidR="00F737C1" w:rsidRPr="0011626D" w:rsidRDefault="00F737C1" w:rsidP="0081505F">
      <w:pPr>
        <w:pStyle w:val="ListParagraph"/>
        <w:numPr>
          <w:ilvl w:val="0"/>
          <w:numId w:val="15"/>
        </w:numPr>
        <w:spacing w:after="120"/>
        <w:contextualSpacing w:val="0"/>
        <w:jc w:val="both"/>
        <w:rPr>
          <w:lang w:val="en-CA"/>
        </w:rPr>
      </w:pPr>
      <w:r>
        <w:rPr>
          <w:lang w:val="en-CA"/>
        </w:rPr>
        <w:t xml:space="preserve">Develop ongoing </w:t>
      </w:r>
      <w:r w:rsidRPr="0011626D">
        <w:rPr>
          <w:lang w:val="en-CA"/>
        </w:rPr>
        <w:t>f training</w:t>
      </w:r>
      <w:r>
        <w:rPr>
          <w:lang w:val="en-CA"/>
        </w:rPr>
        <w:t xml:space="preserve"> plans</w:t>
      </w:r>
      <w:r w:rsidRPr="0011626D">
        <w:rPr>
          <w:lang w:val="en-CA"/>
        </w:rPr>
        <w:t xml:space="preserve"> on VAW</w:t>
      </w:r>
      <w:r>
        <w:rPr>
          <w:lang w:val="en-CA"/>
        </w:rPr>
        <w:t xml:space="preserve"> and on </w:t>
      </w:r>
      <w:r w:rsidRPr="0011626D">
        <w:rPr>
          <w:lang w:val="en-CA"/>
        </w:rPr>
        <w:t xml:space="preserve"> women’s right for specialized groups of persons in legislation</w:t>
      </w:r>
    </w:p>
    <w:p w:rsidR="00F737C1" w:rsidRPr="0011626D" w:rsidRDefault="00F737C1" w:rsidP="0081505F">
      <w:pPr>
        <w:pStyle w:val="ListParagraph"/>
        <w:numPr>
          <w:ilvl w:val="0"/>
          <w:numId w:val="15"/>
        </w:numPr>
        <w:spacing w:after="120"/>
        <w:contextualSpacing w:val="0"/>
        <w:jc w:val="both"/>
        <w:rPr>
          <w:lang w:val="en-CA"/>
        </w:rPr>
      </w:pPr>
      <w:r w:rsidRPr="0011626D">
        <w:rPr>
          <w:lang w:val="en-CA"/>
        </w:rPr>
        <w:t xml:space="preserve">Campaigns to raise awareness </w:t>
      </w:r>
    </w:p>
    <w:p w:rsidR="00F737C1" w:rsidRPr="0011626D" w:rsidRDefault="00F737C1" w:rsidP="0081505F">
      <w:pPr>
        <w:pStyle w:val="ListParagraph"/>
        <w:numPr>
          <w:ilvl w:val="0"/>
          <w:numId w:val="15"/>
        </w:numPr>
        <w:spacing w:after="120"/>
        <w:contextualSpacing w:val="0"/>
        <w:jc w:val="both"/>
        <w:rPr>
          <w:lang w:val="en-CA"/>
        </w:rPr>
      </w:pPr>
      <w:r>
        <w:rPr>
          <w:lang w:val="en-CA"/>
        </w:rPr>
        <w:t>Strategies for c</w:t>
      </w:r>
      <w:r w:rsidRPr="0011626D">
        <w:rPr>
          <w:lang w:val="en-CA"/>
        </w:rPr>
        <w:t xml:space="preserve">ooperation with media and advertising agencies </w:t>
      </w:r>
      <w:r>
        <w:rPr>
          <w:lang w:val="en-CA"/>
        </w:rPr>
        <w:t>in order to publicize women’s rights</w:t>
      </w:r>
    </w:p>
    <w:p w:rsidR="00F737C1" w:rsidRDefault="00F737C1" w:rsidP="0081505F">
      <w:pPr>
        <w:jc w:val="both"/>
        <w:rPr>
          <w:lang w:val="en-CA"/>
        </w:rPr>
      </w:pPr>
    </w:p>
    <w:p w:rsidR="00F737C1" w:rsidRDefault="00F737C1" w:rsidP="0081505F">
      <w:pPr>
        <w:numPr>
          <w:ilvl w:val="0"/>
          <w:numId w:val="23"/>
        </w:numPr>
        <w:jc w:val="both"/>
        <w:rPr>
          <w:b/>
          <w:caps/>
          <w:lang w:val="en-CA"/>
        </w:rPr>
      </w:pPr>
      <w:r>
        <w:rPr>
          <w:lang w:val="en-CA"/>
        </w:rPr>
        <w:t>There is n</w:t>
      </w:r>
      <w:r w:rsidRPr="009A179A">
        <w:rPr>
          <w:lang w:val="en-CA"/>
        </w:rPr>
        <w:t>o acknowledgment of women’s knowledge of the existence of specialized services</w:t>
      </w:r>
      <w:r>
        <w:rPr>
          <w:b/>
          <w:caps/>
          <w:lang w:val="en-CA"/>
        </w:rPr>
        <w:t>.</w:t>
      </w:r>
    </w:p>
    <w:p w:rsidR="00F737C1" w:rsidRDefault="00F737C1" w:rsidP="0081505F">
      <w:pPr>
        <w:jc w:val="both"/>
        <w:rPr>
          <w:b/>
          <w:lang w:val="en-CA"/>
        </w:rPr>
      </w:pPr>
    </w:p>
    <w:p w:rsidR="00F737C1" w:rsidRDefault="00F737C1" w:rsidP="0081505F">
      <w:pPr>
        <w:jc w:val="both"/>
        <w:rPr>
          <w:b/>
          <w:caps/>
          <w:lang w:val="en-CA"/>
        </w:rPr>
      </w:pPr>
      <w:r w:rsidRPr="0011626D">
        <w:rPr>
          <w:b/>
          <w:lang w:val="en-CA"/>
        </w:rPr>
        <w:t>Qualitative Signs of Progress</w:t>
      </w:r>
    </w:p>
    <w:p w:rsidR="00F737C1" w:rsidRDefault="00F737C1" w:rsidP="0081505F">
      <w:pPr>
        <w:numPr>
          <w:ilvl w:val="0"/>
          <w:numId w:val="23"/>
        </w:numPr>
        <w:jc w:val="both"/>
        <w:rPr>
          <w:b/>
          <w:caps/>
          <w:lang w:val="en-CA"/>
        </w:rPr>
      </w:pPr>
      <w:r w:rsidRPr="0011626D">
        <w:rPr>
          <w:lang w:val="en-CA"/>
        </w:rPr>
        <w:t>Qualitative signs of progress omitted for all sections</w:t>
      </w:r>
      <w:r>
        <w:rPr>
          <w:b/>
          <w:caps/>
          <w:lang w:val="en-CA"/>
        </w:rPr>
        <w:t>.</w:t>
      </w:r>
    </w:p>
    <w:p w:rsidR="00F737C1" w:rsidRDefault="00F737C1" w:rsidP="0081505F">
      <w:pPr>
        <w:jc w:val="both"/>
        <w:rPr>
          <w:b/>
          <w:lang w:val="en-CA"/>
        </w:rPr>
      </w:pPr>
    </w:p>
    <w:p w:rsidR="00F737C1" w:rsidRDefault="00F737C1" w:rsidP="0081505F">
      <w:pPr>
        <w:jc w:val="both"/>
        <w:rPr>
          <w:b/>
          <w:caps/>
          <w:lang w:val="en-CA"/>
        </w:rPr>
      </w:pPr>
      <w:r w:rsidRPr="0011626D">
        <w:rPr>
          <w:b/>
          <w:lang w:val="en-CA"/>
        </w:rPr>
        <w:t>Process</w:t>
      </w:r>
    </w:p>
    <w:p w:rsidR="00F737C1" w:rsidRDefault="00F737C1" w:rsidP="0081505F">
      <w:pPr>
        <w:numPr>
          <w:ilvl w:val="0"/>
          <w:numId w:val="23"/>
        </w:numPr>
        <w:jc w:val="both"/>
        <w:rPr>
          <w:b/>
          <w:caps/>
          <w:lang w:val="en-CA"/>
        </w:rPr>
      </w:pPr>
      <w:r w:rsidRPr="0011626D">
        <w:rPr>
          <w:lang w:val="en-CA"/>
        </w:rPr>
        <w:t>No process given</w:t>
      </w:r>
      <w:r>
        <w:rPr>
          <w:lang w:val="en-CA"/>
        </w:rPr>
        <w:t>.</w:t>
      </w:r>
      <w:r w:rsidRPr="0011626D">
        <w:rPr>
          <w:lang w:val="en-CA"/>
        </w:rPr>
        <w:t xml:space="preserve"> </w:t>
      </w:r>
    </w:p>
    <w:p w:rsidR="00F737C1" w:rsidRDefault="00F737C1" w:rsidP="0081505F">
      <w:pPr>
        <w:jc w:val="both"/>
        <w:rPr>
          <w:b/>
          <w:lang w:val="en-CA"/>
        </w:rPr>
      </w:pPr>
    </w:p>
    <w:p w:rsidR="00F737C1" w:rsidRDefault="00F737C1" w:rsidP="0081505F">
      <w:pPr>
        <w:jc w:val="both"/>
        <w:rPr>
          <w:b/>
          <w:caps/>
          <w:lang w:val="en-CA"/>
        </w:rPr>
      </w:pPr>
      <w:r w:rsidRPr="0011626D">
        <w:rPr>
          <w:b/>
          <w:lang w:val="en-CA"/>
        </w:rPr>
        <w:t>Result</w:t>
      </w:r>
    </w:p>
    <w:p w:rsidR="00F737C1" w:rsidRPr="0081505F" w:rsidRDefault="00F737C1" w:rsidP="0081505F">
      <w:pPr>
        <w:numPr>
          <w:ilvl w:val="0"/>
          <w:numId w:val="23"/>
        </w:numPr>
        <w:jc w:val="both"/>
        <w:rPr>
          <w:b/>
          <w:caps/>
          <w:lang w:val="en-CA"/>
        </w:rPr>
      </w:pPr>
      <w:r w:rsidRPr="0011626D">
        <w:rPr>
          <w:lang w:val="en-CA"/>
        </w:rPr>
        <w:t>No response given</w:t>
      </w:r>
      <w:r>
        <w:rPr>
          <w:lang w:val="en-CA"/>
        </w:rPr>
        <w:t>.</w:t>
      </w:r>
    </w:p>
    <w:p w:rsidR="00F737C1" w:rsidRDefault="00F737C1" w:rsidP="0081505F">
      <w:pPr>
        <w:jc w:val="both"/>
        <w:rPr>
          <w:lang w:val="en-CA"/>
        </w:rPr>
      </w:pPr>
    </w:p>
    <w:p w:rsidR="00F737C1" w:rsidRPr="0011626D" w:rsidRDefault="00F737C1" w:rsidP="0081505F">
      <w:pPr>
        <w:pStyle w:val="ListParagraph"/>
        <w:numPr>
          <w:ilvl w:val="0"/>
          <w:numId w:val="3"/>
        </w:numPr>
        <w:ind w:left="720"/>
        <w:jc w:val="both"/>
        <w:rPr>
          <w:lang w:val="en-CA"/>
        </w:rPr>
      </w:pPr>
      <w:r w:rsidRPr="0011626D">
        <w:rPr>
          <w:b/>
          <w:lang w:val="en-CA"/>
        </w:rPr>
        <w:t>Basic Financial Context and Budget Commitments</w:t>
      </w:r>
      <w:r>
        <w:rPr>
          <w:b/>
          <w:lang w:val="en-CA"/>
        </w:rPr>
        <w:t>.</w:t>
      </w:r>
    </w:p>
    <w:p w:rsidR="00F737C1" w:rsidRPr="0081505F" w:rsidRDefault="00F737C1" w:rsidP="0081505F">
      <w:pPr>
        <w:jc w:val="both"/>
        <w:rPr>
          <w:b/>
          <w:caps/>
          <w:lang w:val="en-CA"/>
        </w:rPr>
      </w:pPr>
    </w:p>
    <w:p w:rsidR="00F737C1" w:rsidRPr="0081505F" w:rsidRDefault="00F737C1" w:rsidP="0081505F">
      <w:pPr>
        <w:numPr>
          <w:ilvl w:val="0"/>
          <w:numId w:val="23"/>
        </w:numPr>
        <w:jc w:val="both"/>
        <w:rPr>
          <w:b/>
          <w:caps/>
          <w:lang w:val="en-CA"/>
        </w:rPr>
      </w:pPr>
      <w:r w:rsidRPr="0011626D">
        <w:rPr>
          <w:lang w:val="en-CA"/>
        </w:rPr>
        <w:t>No response made. Qualitative signs of progress, process and results are omitted.</w:t>
      </w:r>
    </w:p>
    <w:p w:rsidR="00F737C1" w:rsidRDefault="00F737C1" w:rsidP="0081505F">
      <w:pPr>
        <w:jc w:val="both"/>
        <w:rPr>
          <w:lang w:val="en-CA"/>
        </w:rPr>
      </w:pPr>
    </w:p>
    <w:p w:rsidR="00F737C1" w:rsidRPr="0011626D" w:rsidRDefault="00F737C1" w:rsidP="0081505F">
      <w:pPr>
        <w:pStyle w:val="ListParagraph"/>
        <w:numPr>
          <w:ilvl w:val="0"/>
          <w:numId w:val="3"/>
        </w:numPr>
        <w:tabs>
          <w:tab w:val="left" w:pos="720"/>
          <w:tab w:val="left" w:pos="990"/>
        </w:tabs>
        <w:ind w:left="450" w:hanging="90"/>
        <w:jc w:val="both"/>
        <w:rPr>
          <w:lang w:val="en-CA"/>
        </w:rPr>
      </w:pPr>
      <w:r w:rsidRPr="0011626D">
        <w:rPr>
          <w:b/>
          <w:lang w:val="en-CA"/>
        </w:rPr>
        <w:t>State Capabilities</w:t>
      </w:r>
      <w:r>
        <w:rPr>
          <w:b/>
          <w:lang w:val="en-CA"/>
        </w:rPr>
        <w:t>.</w:t>
      </w:r>
    </w:p>
    <w:p w:rsidR="00F737C1" w:rsidRDefault="00F737C1" w:rsidP="0081505F">
      <w:pPr>
        <w:jc w:val="both"/>
        <w:rPr>
          <w:b/>
          <w:caps/>
          <w:lang w:val="en-CA"/>
        </w:rPr>
      </w:pPr>
    </w:p>
    <w:p w:rsidR="00F737C1" w:rsidRDefault="00F737C1" w:rsidP="0081505F">
      <w:pPr>
        <w:numPr>
          <w:ilvl w:val="0"/>
          <w:numId w:val="23"/>
        </w:numPr>
        <w:jc w:val="both"/>
        <w:rPr>
          <w:b/>
          <w:caps/>
          <w:lang w:val="en-CA"/>
        </w:rPr>
      </w:pPr>
      <w:r w:rsidRPr="0011626D">
        <w:rPr>
          <w:lang w:val="en-CA"/>
        </w:rPr>
        <w:lastRenderedPageBreak/>
        <w:t xml:space="preserve">The report lists six existing official state </w:t>
      </w:r>
      <w:r>
        <w:rPr>
          <w:lang w:val="en-CA"/>
        </w:rPr>
        <w:t>agencies</w:t>
      </w:r>
      <w:r w:rsidRPr="0011626D">
        <w:rPr>
          <w:lang w:val="en-CA"/>
        </w:rPr>
        <w:t xml:space="preserve"> and the services they provide. It stated that no specialized officers or private spaces for VAW exist within the Royal Grenada Police Force. Nevertheless th</w:t>
      </w:r>
      <w:r>
        <w:rPr>
          <w:lang w:val="en-CA"/>
        </w:rPr>
        <w:t>e</w:t>
      </w:r>
      <w:r w:rsidRPr="0011626D">
        <w:rPr>
          <w:lang w:val="en-CA"/>
        </w:rPr>
        <w:t xml:space="preserve"> police force has </w:t>
      </w:r>
      <w:r w:rsidRPr="003D2458">
        <w:rPr>
          <w:lang w:val="en-CA"/>
        </w:rPr>
        <w:t>trained officer</w:t>
      </w:r>
      <w:r w:rsidRPr="0011626D">
        <w:rPr>
          <w:lang w:val="en-CA"/>
        </w:rPr>
        <w:t xml:space="preserve"> assigned to deal with domestic violence and sexual violence. </w:t>
      </w:r>
    </w:p>
    <w:p w:rsidR="00F737C1" w:rsidRDefault="00F737C1" w:rsidP="0081505F">
      <w:pPr>
        <w:jc w:val="both"/>
        <w:rPr>
          <w:b/>
          <w:lang w:val="en-CA"/>
        </w:rPr>
      </w:pPr>
    </w:p>
    <w:p w:rsidR="00F737C1" w:rsidRDefault="00F737C1" w:rsidP="0081505F">
      <w:pPr>
        <w:jc w:val="both"/>
        <w:rPr>
          <w:b/>
          <w:caps/>
          <w:lang w:val="en-CA"/>
        </w:rPr>
      </w:pPr>
      <w:r w:rsidRPr="0011626D">
        <w:rPr>
          <w:b/>
          <w:lang w:val="en-CA"/>
        </w:rPr>
        <w:t>Process</w:t>
      </w:r>
      <w:r w:rsidRPr="0011626D">
        <w:rPr>
          <w:lang w:val="en-CA"/>
        </w:rPr>
        <w:t xml:space="preserve"> </w:t>
      </w:r>
    </w:p>
    <w:p w:rsidR="00F737C1" w:rsidRDefault="00F737C1" w:rsidP="0081505F">
      <w:pPr>
        <w:numPr>
          <w:ilvl w:val="0"/>
          <w:numId w:val="23"/>
        </w:numPr>
        <w:jc w:val="both"/>
        <w:rPr>
          <w:b/>
          <w:caps/>
          <w:lang w:val="en-CA"/>
        </w:rPr>
      </w:pPr>
      <w:r w:rsidRPr="0011626D">
        <w:rPr>
          <w:lang w:val="en-CA"/>
        </w:rPr>
        <w:t>The only contribution made was the Domestic Violence and Sexual Abuse Protocol (DVSAP) that provide guidelines for services providers’ responses to victim, witnesses and other affected persons. The DVSAP was referred to earlier under legislation.</w:t>
      </w:r>
      <w:r>
        <w:rPr>
          <w:lang w:val="en-CA"/>
        </w:rPr>
        <w:t xml:space="preserve"> </w:t>
      </w:r>
      <w:r w:rsidRPr="0011626D">
        <w:rPr>
          <w:lang w:val="en-CA"/>
        </w:rPr>
        <w:t>The process involved in the formulation of the plan was not provided.</w:t>
      </w:r>
    </w:p>
    <w:p w:rsidR="00F737C1" w:rsidRDefault="00F737C1" w:rsidP="0081505F">
      <w:pPr>
        <w:jc w:val="both"/>
        <w:rPr>
          <w:b/>
          <w:lang w:val="en-CA"/>
        </w:rPr>
      </w:pPr>
    </w:p>
    <w:p w:rsidR="00F737C1" w:rsidRDefault="00F737C1" w:rsidP="0081505F">
      <w:pPr>
        <w:jc w:val="both"/>
        <w:rPr>
          <w:b/>
          <w:caps/>
          <w:lang w:val="en-CA"/>
        </w:rPr>
      </w:pPr>
      <w:r w:rsidRPr="0011626D">
        <w:rPr>
          <w:b/>
          <w:lang w:val="en-CA"/>
        </w:rPr>
        <w:t>Result</w:t>
      </w:r>
    </w:p>
    <w:p w:rsidR="00F737C1" w:rsidRPr="0081505F" w:rsidRDefault="00F737C1" w:rsidP="0081505F">
      <w:pPr>
        <w:numPr>
          <w:ilvl w:val="0"/>
          <w:numId w:val="23"/>
        </w:numPr>
        <w:jc w:val="both"/>
        <w:rPr>
          <w:b/>
          <w:caps/>
          <w:lang w:val="en-CA"/>
        </w:rPr>
      </w:pPr>
      <w:r w:rsidRPr="0011626D">
        <w:rPr>
          <w:lang w:val="en-CA"/>
        </w:rPr>
        <w:t>The report stated that no statistical data was available.</w:t>
      </w:r>
    </w:p>
    <w:p w:rsidR="00F737C1" w:rsidRDefault="00F737C1" w:rsidP="0081505F">
      <w:pPr>
        <w:jc w:val="both"/>
        <w:rPr>
          <w:lang w:val="en-CA"/>
        </w:rPr>
      </w:pPr>
    </w:p>
    <w:p w:rsidR="00F737C1" w:rsidRPr="00070E6B" w:rsidRDefault="00F737C1" w:rsidP="0081505F">
      <w:pPr>
        <w:numPr>
          <w:ilvl w:val="0"/>
          <w:numId w:val="19"/>
        </w:numPr>
        <w:jc w:val="both"/>
        <w:rPr>
          <w:b/>
        </w:rPr>
      </w:pPr>
      <w:r w:rsidRPr="00070E6B">
        <w:rPr>
          <w:b/>
        </w:rPr>
        <w:t>ACCESS TO JUSTICE</w:t>
      </w:r>
      <w:r>
        <w:rPr>
          <w:b/>
        </w:rPr>
        <w:t xml:space="preserve"> – Articles 7 d), f), and 8 </w:t>
      </w:r>
      <w:proofErr w:type="spellStart"/>
      <w:r>
        <w:rPr>
          <w:b/>
        </w:rPr>
        <w:t>c</w:t>
      </w:r>
      <w:proofErr w:type="spellEnd"/>
      <w:r>
        <w:rPr>
          <w:b/>
        </w:rPr>
        <w:t xml:space="preserve">) and d) of the </w:t>
      </w:r>
      <w:proofErr w:type="spellStart"/>
      <w:r>
        <w:rPr>
          <w:b/>
        </w:rPr>
        <w:t>Belém</w:t>
      </w:r>
      <w:proofErr w:type="spellEnd"/>
      <w:r>
        <w:rPr>
          <w:b/>
        </w:rPr>
        <w:t xml:space="preserve"> do </w:t>
      </w:r>
      <w:proofErr w:type="spellStart"/>
      <w:r>
        <w:rPr>
          <w:b/>
        </w:rPr>
        <w:t>Pará</w:t>
      </w:r>
      <w:proofErr w:type="spellEnd"/>
      <w:r>
        <w:rPr>
          <w:b/>
        </w:rPr>
        <w:t xml:space="preserve"> Convention</w:t>
      </w:r>
    </w:p>
    <w:p w:rsidR="00F737C1" w:rsidRPr="0011626D" w:rsidRDefault="00F737C1" w:rsidP="0081505F">
      <w:pPr>
        <w:jc w:val="both"/>
        <w:rPr>
          <w:lang w:val="en-CA"/>
        </w:rPr>
      </w:pPr>
    </w:p>
    <w:p w:rsidR="00F737C1" w:rsidRPr="0011626D" w:rsidRDefault="00F737C1" w:rsidP="0081505F">
      <w:pPr>
        <w:pStyle w:val="ListParagraph"/>
        <w:numPr>
          <w:ilvl w:val="0"/>
          <w:numId w:val="4"/>
        </w:numPr>
        <w:ind w:left="720"/>
        <w:jc w:val="both"/>
        <w:rPr>
          <w:b/>
          <w:lang w:val="en-CA"/>
        </w:rPr>
      </w:pPr>
      <w:r w:rsidRPr="0011626D">
        <w:rPr>
          <w:b/>
          <w:lang w:val="en-CA"/>
        </w:rPr>
        <w:t xml:space="preserve">Formal Component (Reception of the right) </w:t>
      </w:r>
    </w:p>
    <w:p w:rsidR="00F737C1" w:rsidRDefault="00F737C1" w:rsidP="0081505F">
      <w:pPr>
        <w:jc w:val="both"/>
        <w:rPr>
          <w:b/>
          <w:caps/>
          <w:lang w:val="en-CA"/>
        </w:rPr>
      </w:pPr>
    </w:p>
    <w:p w:rsidR="00F737C1" w:rsidRDefault="00F737C1" w:rsidP="0081505F">
      <w:pPr>
        <w:numPr>
          <w:ilvl w:val="0"/>
          <w:numId w:val="23"/>
        </w:numPr>
        <w:jc w:val="both"/>
        <w:rPr>
          <w:b/>
          <w:caps/>
          <w:lang w:val="en-CA"/>
        </w:rPr>
      </w:pPr>
      <w:r w:rsidRPr="0011626D">
        <w:rPr>
          <w:lang w:val="en-CA"/>
        </w:rPr>
        <w:t>No specific response was made to these indicators. The above laws were referenced</w:t>
      </w:r>
      <w:r w:rsidRPr="0011626D">
        <w:rPr>
          <w:b/>
          <w:lang w:val="en-CA"/>
        </w:rPr>
        <w:t xml:space="preserve">. </w:t>
      </w:r>
      <w:r w:rsidRPr="0011626D">
        <w:rPr>
          <w:lang w:val="en-CA"/>
        </w:rPr>
        <w:t>It would have been fitting to have an explanation on the specific result or impact of the existing l</w:t>
      </w:r>
      <w:r>
        <w:rPr>
          <w:lang w:val="en-CA"/>
        </w:rPr>
        <w:t>aws</w:t>
      </w:r>
      <w:r w:rsidRPr="0011626D">
        <w:rPr>
          <w:lang w:val="en-CA"/>
        </w:rPr>
        <w:t xml:space="preserve"> and how these legislations have influenced access to justice.</w:t>
      </w:r>
    </w:p>
    <w:p w:rsidR="00F737C1" w:rsidRDefault="00F737C1" w:rsidP="0081505F">
      <w:pPr>
        <w:jc w:val="both"/>
        <w:rPr>
          <w:b/>
          <w:caps/>
          <w:lang w:val="en-CA"/>
        </w:rPr>
      </w:pPr>
      <w:r w:rsidRPr="0011626D">
        <w:rPr>
          <w:b/>
          <w:lang w:val="en-CA"/>
        </w:rPr>
        <w:t>Qualitative Signs of Progress</w:t>
      </w:r>
    </w:p>
    <w:p w:rsidR="00F737C1" w:rsidRDefault="00F737C1" w:rsidP="0081505F">
      <w:pPr>
        <w:numPr>
          <w:ilvl w:val="0"/>
          <w:numId w:val="23"/>
        </w:numPr>
        <w:jc w:val="both"/>
        <w:rPr>
          <w:b/>
          <w:caps/>
          <w:lang w:val="en-CA"/>
        </w:rPr>
      </w:pPr>
      <w:r w:rsidRPr="0011626D">
        <w:rPr>
          <w:lang w:val="en-CA"/>
        </w:rPr>
        <w:t xml:space="preserve">Qualitative signs of progress </w:t>
      </w:r>
      <w:r>
        <w:rPr>
          <w:lang w:val="en-CA"/>
        </w:rPr>
        <w:t xml:space="preserve">were </w:t>
      </w:r>
      <w:r w:rsidRPr="0011626D">
        <w:rPr>
          <w:lang w:val="en-CA"/>
        </w:rPr>
        <w:t>omitted.</w:t>
      </w:r>
    </w:p>
    <w:p w:rsidR="00F737C1" w:rsidRDefault="00F737C1" w:rsidP="0081505F">
      <w:pPr>
        <w:jc w:val="both"/>
        <w:rPr>
          <w:b/>
          <w:lang w:val="en-CA"/>
        </w:rPr>
      </w:pPr>
    </w:p>
    <w:p w:rsidR="00F737C1" w:rsidRDefault="00F737C1" w:rsidP="0081505F">
      <w:pPr>
        <w:jc w:val="both"/>
        <w:rPr>
          <w:b/>
          <w:caps/>
          <w:lang w:val="en-CA"/>
        </w:rPr>
      </w:pPr>
      <w:r w:rsidRPr="0011626D">
        <w:rPr>
          <w:b/>
          <w:lang w:val="en-CA"/>
        </w:rPr>
        <w:t>Process</w:t>
      </w:r>
    </w:p>
    <w:p w:rsidR="00F737C1" w:rsidRDefault="00F737C1" w:rsidP="0081505F">
      <w:pPr>
        <w:numPr>
          <w:ilvl w:val="0"/>
          <w:numId w:val="23"/>
        </w:numPr>
        <w:jc w:val="both"/>
        <w:rPr>
          <w:b/>
          <w:caps/>
          <w:lang w:val="en-CA"/>
        </w:rPr>
      </w:pPr>
      <w:r>
        <w:rPr>
          <w:lang w:val="en-CA"/>
        </w:rPr>
        <w:t>No process given.</w:t>
      </w:r>
    </w:p>
    <w:p w:rsidR="00F737C1" w:rsidRDefault="00F737C1" w:rsidP="0081505F">
      <w:pPr>
        <w:jc w:val="both"/>
        <w:rPr>
          <w:b/>
          <w:caps/>
          <w:lang w:val="en-CA"/>
        </w:rPr>
      </w:pPr>
    </w:p>
    <w:p w:rsidR="00F737C1" w:rsidRDefault="00F737C1" w:rsidP="0081505F">
      <w:pPr>
        <w:jc w:val="both"/>
        <w:rPr>
          <w:b/>
          <w:caps/>
          <w:lang w:val="en-CA"/>
        </w:rPr>
      </w:pPr>
      <w:r w:rsidRPr="0011626D">
        <w:rPr>
          <w:b/>
          <w:lang w:val="en-CA"/>
        </w:rPr>
        <w:t>Result</w:t>
      </w:r>
    </w:p>
    <w:p w:rsidR="00F737C1" w:rsidRPr="0081505F" w:rsidRDefault="00F737C1" w:rsidP="0081505F">
      <w:pPr>
        <w:numPr>
          <w:ilvl w:val="0"/>
          <w:numId w:val="23"/>
        </w:numPr>
        <w:jc w:val="both"/>
        <w:rPr>
          <w:b/>
          <w:caps/>
          <w:lang w:val="en-CA"/>
        </w:rPr>
      </w:pPr>
      <w:r>
        <w:rPr>
          <w:lang w:val="en-CA"/>
        </w:rPr>
        <w:t>No response given.</w:t>
      </w:r>
    </w:p>
    <w:p w:rsidR="00F737C1" w:rsidRDefault="00F737C1" w:rsidP="0081505F">
      <w:pPr>
        <w:jc w:val="both"/>
        <w:rPr>
          <w:lang w:val="en-CA"/>
        </w:rPr>
      </w:pPr>
    </w:p>
    <w:p w:rsidR="00F737C1" w:rsidRPr="0011626D" w:rsidRDefault="00F737C1" w:rsidP="0081505F">
      <w:pPr>
        <w:pStyle w:val="ListParagraph"/>
        <w:numPr>
          <w:ilvl w:val="0"/>
          <w:numId w:val="4"/>
        </w:numPr>
        <w:ind w:left="900"/>
        <w:jc w:val="both"/>
        <w:rPr>
          <w:b/>
          <w:lang w:val="en-CA"/>
        </w:rPr>
      </w:pPr>
      <w:r w:rsidRPr="0011626D">
        <w:rPr>
          <w:b/>
          <w:lang w:val="en-CA"/>
        </w:rPr>
        <w:t>Basic Financial Context and Budget Commitments</w:t>
      </w:r>
    </w:p>
    <w:p w:rsidR="00F737C1" w:rsidRDefault="00F737C1" w:rsidP="0081505F">
      <w:pPr>
        <w:jc w:val="both"/>
        <w:rPr>
          <w:b/>
          <w:caps/>
          <w:lang w:val="en-CA"/>
        </w:rPr>
      </w:pPr>
    </w:p>
    <w:p w:rsidR="00F737C1" w:rsidRPr="0081505F" w:rsidRDefault="00F737C1" w:rsidP="0081505F">
      <w:pPr>
        <w:numPr>
          <w:ilvl w:val="0"/>
          <w:numId w:val="23"/>
        </w:numPr>
        <w:jc w:val="both"/>
        <w:rPr>
          <w:b/>
          <w:caps/>
          <w:lang w:val="en-CA"/>
        </w:rPr>
      </w:pPr>
      <w:r w:rsidRPr="0011626D">
        <w:rPr>
          <w:lang w:val="en-CA"/>
        </w:rPr>
        <w:t>No response given.  Qualitative signs of progress, process and results are omitted</w:t>
      </w:r>
      <w:r>
        <w:rPr>
          <w:lang w:val="en-CA"/>
        </w:rPr>
        <w:t>.</w:t>
      </w:r>
    </w:p>
    <w:p w:rsidR="00F737C1" w:rsidRDefault="00F737C1" w:rsidP="0081505F">
      <w:pPr>
        <w:jc w:val="both"/>
        <w:rPr>
          <w:lang w:val="en-CA"/>
        </w:rPr>
      </w:pPr>
    </w:p>
    <w:p w:rsidR="00F737C1" w:rsidRPr="0011626D" w:rsidRDefault="00F737C1" w:rsidP="0081505F">
      <w:pPr>
        <w:pStyle w:val="ListParagraph"/>
        <w:numPr>
          <w:ilvl w:val="0"/>
          <w:numId w:val="4"/>
        </w:numPr>
        <w:ind w:left="900"/>
        <w:jc w:val="both"/>
        <w:rPr>
          <w:lang w:val="en-CA"/>
        </w:rPr>
      </w:pPr>
      <w:r w:rsidRPr="0011626D">
        <w:rPr>
          <w:b/>
          <w:lang w:val="en-CA"/>
        </w:rPr>
        <w:t>State Capabilities</w:t>
      </w:r>
    </w:p>
    <w:p w:rsidR="00F737C1" w:rsidRPr="0081505F" w:rsidRDefault="00F737C1" w:rsidP="0081505F">
      <w:pPr>
        <w:jc w:val="both"/>
        <w:rPr>
          <w:b/>
          <w:caps/>
          <w:lang w:val="en-CA"/>
        </w:rPr>
      </w:pPr>
    </w:p>
    <w:p w:rsidR="00F737C1" w:rsidRPr="0081505F" w:rsidRDefault="00F737C1" w:rsidP="0081505F">
      <w:pPr>
        <w:numPr>
          <w:ilvl w:val="0"/>
          <w:numId w:val="23"/>
        </w:numPr>
        <w:jc w:val="both"/>
        <w:rPr>
          <w:b/>
          <w:caps/>
          <w:lang w:val="en-CA"/>
        </w:rPr>
      </w:pPr>
      <w:r w:rsidRPr="0011626D">
        <w:rPr>
          <w:lang w:val="en-CA"/>
        </w:rPr>
        <w:t xml:space="preserve">The only indication of the state’s capacity to act and enforce the provisions of the Convention is a list of the government entities that receive complaints. These are the Royal Grenada Police Force, The Legal Aid and Counselling Clinic and the Ministry of Social </w:t>
      </w:r>
      <w:r>
        <w:rPr>
          <w:lang w:val="en-CA"/>
        </w:rPr>
        <w:t>D</w:t>
      </w:r>
      <w:r w:rsidRPr="0011626D">
        <w:rPr>
          <w:lang w:val="en-CA"/>
        </w:rPr>
        <w:t>evelopment.</w:t>
      </w:r>
    </w:p>
    <w:p w:rsidR="00F737C1" w:rsidRDefault="00F737C1" w:rsidP="0081505F">
      <w:pPr>
        <w:jc w:val="both"/>
        <w:rPr>
          <w:b/>
          <w:caps/>
          <w:lang w:val="en-CA"/>
        </w:rPr>
      </w:pPr>
    </w:p>
    <w:p w:rsidR="00F737C1" w:rsidRDefault="00F737C1" w:rsidP="0081505F">
      <w:pPr>
        <w:jc w:val="both"/>
        <w:rPr>
          <w:lang w:val="en-CA"/>
        </w:rPr>
      </w:pPr>
      <w:r w:rsidRPr="0011626D">
        <w:rPr>
          <w:b/>
          <w:lang w:val="en-CA"/>
        </w:rPr>
        <w:t>Qualitative Signs of Progress</w:t>
      </w:r>
    </w:p>
    <w:p w:rsidR="00F737C1" w:rsidRDefault="00F737C1" w:rsidP="0081505F">
      <w:pPr>
        <w:numPr>
          <w:ilvl w:val="0"/>
          <w:numId w:val="23"/>
        </w:numPr>
        <w:jc w:val="both"/>
        <w:rPr>
          <w:b/>
          <w:caps/>
          <w:lang w:val="en-CA"/>
        </w:rPr>
      </w:pPr>
      <w:r w:rsidRPr="0011626D">
        <w:rPr>
          <w:lang w:val="en-CA"/>
        </w:rPr>
        <w:t xml:space="preserve">Qualitative signs of progress </w:t>
      </w:r>
      <w:r>
        <w:rPr>
          <w:lang w:val="en-CA"/>
        </w:rPr>
        <w:t xml:space="preserve">were </w:t>
      </w:r>
      <w:r w:rsidRPr="0011626D">
        <w:rPr>
          <w:lang w:val="en-CA"/>
        </w:rPr>
        <w:t>omitted</w:t>
      </w:r>
      <w:r>
        <w:rPr>
          <w:lang w:val="en-CA"/>
        </w:rPr>
        <w:t>.</w:t>
      </w:r>
      <w:r w:rsidRPr="0011626D">
        <w:rPr>
          <w:lang w:val="en-CA"/>
        </w:rPr>
        <w:t xml:space="preserve"> </w:t>
      </w:r>
    </w:p>
    <w:p w:rsidR="00F737C1" w:rsidRDefault="00F737C1" w:rsidP="0081505F">
      <w:pPr>
        <w:jc w:val="both"/>
        <w:rPr>
          <w:b/>
          <w:lang w:val="en-CA"/>
        </w:rPr>
      </w:pPr>
    </w:p>
    <w:p w:rsidR="00F737C1" w:rsidRDefault="00F737C1" w:rsidP="0081505F">
      <w:pPr>
        <w:jc w:val="both"/>
        <w:rPr>
          <w:lang w:val="en-CA"/>
        </w:rPr>
      </w:pPr>
      <w:r w:rsidRPr="0011626D">
        <w:rPr>
          <w:b/>
          <w:lang w:val="en-CA"/>
        </w:rPr>
        <w:t>Process</w:t>
      </w:r>
    </w:p>
    <w:p w:rsidR="00F737C1" w:rsidRPr="0081505F" w:rsidRDefault="00F737C1" w:rsidP="0081505F">
      <w:pPr>
        <w:numPr>
          <w:ilvl w:val="0"/>
          <w:numId w:val="23"/>
        </w:numPr>
        <w:jc w:val="both"/>
        <w:rPr>
          <w:b/>
          <w:caps/>
          <w:lang w:val="en-CA"/>
        </w:rPr>
      </w:pPr>
      <w:r>
        <w:rPr>
          <w:lang w:val="en-CA"/>
        </w:rPr>
        <w:t>No process given.</w:t>
      </w:r>
    </w:p>
    <w:p w:rsidR="00F737C1" w:rsidRDefault="00F737C1" w:rsidP="0081505F">
      <w:pPr>
        <w:jc w:val="both"/>
        <w:rPr>
          <w:b/>
          <w:lang w:val="en-CA"/>
        </w:rPr>
      </w:pPr>
    </w:p>
    <w:p w:rsidR="00F737C1" w:rsidRDefault="00F737C1" w:rsidP="0081505F">
      <w:pPr>
        <w:jc w:val="both"/>
        <w:rPr>
          <w:lang w:val="en-CA"/>
        </w:rPr>
      </w:pPr>
      <w:r w:rsidRPr="0011626D">
        <w:rPr>
          <w:b/>
          <w:lang w:val="en-CA"/>
        </w:rPr>
        <w:t>Result</w:t>
      </w:r>
    </w:p>
    <w:p w:rsidR="00F737C1" w:rsidRDefault="00F737C1" w:rsidP="0081505F">
      <w:pPr>
        <w:numPr>
          <w:ilvl w:val="0"/>
          <w:numId w:val="23"/>
        </w:numPr>
        <w:jc w:val="both"/>
        <w:rPr>
          <w:b/>
          <w:caps/>
          <w:lang w:val="en-CA"/>
        </w:rPr>
      </w:pPr>
      <w:r w:rsidRPr="0011626D">
        <w:rPr>
          <w:lang w:val="en-CA"/>
        </w:rPr>
        <w:t>No response given.</w:t>
      </w:r>
    </w:p>
    <w:p w:rsidR="00F737C1" w:rsidRDefault="00F737C1" w:rsidP="0081505F">
      <w:pPr>
        <w:jc w:val="both"/>
        <w:rPr>
          <w:b/>
          <w:caps/>
          <w:lang w:val="en-CA"/>
        </w:rPr>
      </w:pPr>
    </w:p>
    <w:p w:rsidR="00F737C1" w:rsidRPr="00070E6B" w:rsidRDefault="00F737C1" w:rsidP="0081505F">
      <w:pPr>
        <w:numPr>
          <w:ilvl w:val="0"/>
          <w:numId w:val="19"/>
        </w:numPr>
        <w:jc w:val="both"/>
        <w:rPr>
          <w:b/>
        </w:rPr>
      </w:pPr>
      <w:r w:rsidRPr="00070E6B">
        <w:rPr>
          <w:b/>
        </w:rPr>
        <w:t>INFORMATION AND STATISTICS</w:t>
      </w:r>
      <w:r>
        <w:rPr>
          <w:b/>
        </w:rPr>
        <w:t xml:space="preserve"> – Article 8 h) of the </w:t>
      </w:r>
      <w:proofErr w:type="spellStart"/>
      <w:r>
        <w:rPr>
          <w:b/>
        </w:rPr>
        <w:t>Belém</w:t>
      </w:r>
      <w:proofErr w:type="spellEnd"/>
      <w:r>
        <w:rPr>
          <w:b/>
        </w:rPr>
        <w:t xml:space="preserve"> do </w:t>
      </w:r>
      <w:proofErr w:type="spellStart"/>
      <w:r>
        <w:rPr>
          <w:b/>
        </w:rPr>
        <w:t>pará</w:t>
      </w:r>
      <w:proofErr w:type="spellEnd"/>
      <w:r>
        <w:rPr>
          <w:b/>
        </w:rPr>
        <w:t xml:space="preserve"> Convention</w:t>
      </w:r>
    </w:p>
    <w:p w:rsidR="00F737C1" w:rsidRPr="0011626D" w:rsidRDefault="00F737C1" w:rsidP="0081505F">
      <w:pPr>
        <w:ind w:left="360"/>
        <w:jc w:val="both"/>
        <w:rPr>
          <w:b/>
          <w:caps/>
          <w:lang w:val="en-CA"/>
        </w:rPr>
      </w:pPr>
    </w:p>
    <w:p w:rsidR="00F737C1" w:rsidRPr="0011626D" w:rsidRDefault="00F737C1" w:rsidP="0081505F">
      <w:pPr>
        <w:pStyle w:val="ListParagraph"/>
        <w:numPr>
          <w:ilvl w:val="0"/>
          <w:numId w:val="5"/>
        </w:numPr>
        <w:ind w:left="900"/>
        <w:jc w:val="both"/>
        <w:rPr>
          <w:b/>
          <w:lang w:val="en-CA"/>
        </w:rPr>
      </w:pPr>
      <w:r w:rsidRPr="0011626D">
        <w:rPr>
          <w:b/>
          <w:lang w:val="en-CA"/>
        </w:rPr>
        <w:t>Formal Component (Reception of the Right)</w:t>
      </w:r>
    </w:p>
    <w:p w:rsidR="00F737C1" w:rsidRDefault="00F737C1" w:rsidP="0081505F">
      <w:pPr>
        <w:jc w:val="both"/>
        <w:rPr>
          <w:b/>
          <w:caps/>
          <w:lang w:val="en-CA"/>
        </w:rPr>
      </w:pPr>
    </w:p>
    <w:p w:rsidR="00F737C1" w:rsidRDefault="00F737C1" w:rsidP="0081505F">
      <w:pPr>
        <w:numPr>
          <w:ilvl w:val="0"/>
          <w:numId w:val="23"/>
        </w:numPr>
        <w:jc w:val="both"/>
        <w:rPr>
          <w:b/>
          <w:caps/>
          <w:lang w:val="en-CA"/>
        </w:rPr>
      </w:pPr>
      <w:r w:rsidRPr="0011626D">
        <w:rPr>
          <w:lang w:val="en-CA"/>
        </w:rPr>
        <w:t xml:space="preserve">The </w:t>
      </w:r>
      <w:r>
        <w:rPr>
          <w:lang w:val="en-CA"/>
        </w:rPr>
        <w:t>fact that there is no response</w:t>
      </w:r>
      <w:r w:rsidRPr="0011626D">
        <w:rPr>
          <w:lang w:val="en-CA"/>
        </w:rPr>
        <w:t xml:space="preserve"> to most indicators makes it impossible to determine the level of compliance </w:t>
      </w:r>
      <w:r>
        <w:rPr>
          <w:lang w:val="en-CA"/>
        </w:rPr>
        <w:t>with</w:t>
      </w:r>
      <w:r w:rsidRPr="0011626D">
        <w:rPr>
          <w:lang w:val="en-CA"/>
        </w:rPr>
        <w:t xml:space="preserve"> article 8 h of the Convention</w:t>
      </w:r>
      <w:r>
        <w:rPr>
          <w:b/>
          <w:caps/>
          <w:lang w:val="en-CA"/>
        </w:rPr>
        <w:t>.</w:t>
      </w:r>
    </w:p>
    <w:p w:rsidR="00F737C1" w:rsidRDefault="00F737C1" w:rsidP="0081505F">
      <w:pPr>
        <w:jc w:val="both"/>
        <w:rPr>
          <w:b/>
          <w:caps/>
          <w:lang w:val="en-CA"/>
        </w:rPr>
      </w:pPr>
    </w:p>
    <w:p w:rsidR="00F737C1" w:rsidRDefault="00F737C1" w:rsidP="00700A12">
      <w:pPr>
        <w:numPr>
          <w:ilvl w:val="0"/>
          <w:numId w:val="23"/>
        </w:numPr>
        <w:jc w:val="both"/>
        <w:rPr>
          <w:b/>
          <w:caps/>
          <w:lang w:val="en-CA"/>
        </w:rPr>
      </w:pPr>
      <w:r w:rsidRPr="0011626D">
        <w:rPr>
          <w:lang w:val="en-CA"/>
        </w:rPr>
        <w:t>The information provided throughout the document suggests that data collection is minimal. Grenada’s response under legislation (page 3) I stated that “</w:t>
      </w:r>
      <w:r w:rsidRPr="0011626D">
        <w:rPr>
          <w:bCs/>
        </w:rPr>
        <w:t>n</w:t>
      </w:r>
      <w:r w:rsidRPr="0011626D">
        <w:rPr>
          <w:lang w:val="en-CA"/>
        </w:rPr>
        <w:t>o studies or surveys were done on the prevalence of any form of VAW”.</w:t>
      </w:r>
    </w:p>
    <w:p w:rsidR="00F737C1" w:rsidRDefault="00F737C1" w:rsidP="00700A12">
      <w:pPr>
        <w:jc w:val="both"/>
        <w:rPr>
          <w:b/>
          <w:lang w:val="en-CA"/>
        </w:rPr>
      </w:pPr>
    </w:p>
    <w:p w:rsidR="00F737C1" w:rsidRDefault="00F737C1" w:rsidP="00700A12">
      <w:pPr>
        <w:jc w:val="both"/>
        <w:rPr>
          <w:lang w:val="en-CA"/>
        </w:rPr>
      </w:pPr>
      <w:r w:rsidRPr="0011626D">
        <w:rPr>
          <w:b/>
          <w:lang w:val="en-CA"/>
        </w:rPr>
        <w:t>Qualitative Signs of Progress</w:t>
      </w:r>
    </w:p>
    <w:p w:rsidR="00F737C1" w:rsidRDefault="00F737C1" w:rsidP="00700A12">
      <w:pPr>
        <w:numPr>
          <w:ilvl w:val="0"/>
          <w:numId w:val="23"/>
        </w:numPr>
        <w:jc w:val="both"/>
        <w:rPr>
          <w:b/>
          <w:caps/>
          <w:lang w:val="en-CA"/>
        </w:rPr>
      </w:pPr>
      <w:r w:rsidRPr="0011626D">
        <w:rPr>
          <w:lang w:val="en-CA"/>
        </w:rPr>
        <w:t>A Draft National Plan exists but insufficient information is provided on this plan</w:t>
      </w:r>
      <w:r>
        <w:rPr>
          <w:lang w:val="en-CA"/>
        </w:rPr>
        <w:t xml:space="preserve">. It is therefore </w:t>
      </w:r>
      <w:r w:rsidRPr="0011626D">
        <w:rPr>
          <w:lang w:val="en-CA"/>
        </w:rPr>
        <w:t>difficult to determine the budget allocated and the dissemination and promotion of results</w:t>
      </w:r>
      <w:r>
        <w:rPr>
          <w:lang w:val="en-CA"/>
        </w:rPr>
        <w:t>.</w:t>
      </w:r>
    </w:p>
    <w:p w:rsidR="00F737C1" w:rsidRPr="00700A12" w:rsidRDefault="00F737C1" w:rsidP="00700A12">
      <w:pPr>
        <w:numPr>
          <w:ilvl w:val="0"/>
          <w:numId w:val="23"/>
        </w:numPr>
        <w:jc w:val="both"/>
        <w:rPr>
          <w:b/>
          <w:caps/>
          <w:lang w:val="en-CA"/>
        </w:rPr>
      </w:pPr>
      <w:r w:rsidRPr="0011626D">
        <w:rPr>
          <w:lang w:val="en-CA"/>
        </w:rPr>
        <w:t xml:space="preserve">According to the respondent, the central statistical office has the responsibility to collect and produce statistics on violence against women. </w:t>
      </w:r>
    </w:p>
    <w:p w:rsidR="00F737C1" w:rsidRDefault="00F737C1" w:rsidP="00700A12">
      <w:pPr>
        <w:jc w:val="both"/>
        <w:rPr>
          <w:b/>
          <w:caps/>
          <w:lang w:val="en-CA"/>
        </w:rPr>
      </w:pPr>
    </w:p>
    <w:p w:rsidR="00F737C1" w:rsidRDefault="00F737C1" w:rsidP="00700A12">
      <w:pPr>
        <w:numPr>
          <w:ilvl w:val="0"/>
          <w:numId w:val="23"/>
        </w:numPr>
        <w:jc w:val="both"/>
        <w:rPr>
          <w:b/>
          <w:caps/>
          <w:lang w:val="en-CA"/>
        </w:rPr>
      </w:pPr>
      <w:r w:rsidRPr="0011626D">
        <w:rPr>
          <w:lang w:val="en-CA"/>
        </w:rPr>
        <w:t>Record of sexual offences and domestic homicide are kept by the Criminal Records Office of Royal Grenada Police Force.</w:t>
      </w:r>
      <w:r w:rsidRPr="0011626D">
        <w:rPr>
          <w:b/>
          <w:lang w:val="en-CA"/>
        </w:rPr>
        <w:t xml:space="preserve"> </w:t>
      </w:r>
      <w:r w:rsidRPr="00FE7AEF">
        <w:rPr>
          <w:lang w:val="en-CA"/>
        </w:rPr>
        <w:t>On page 14, under qualitative signs of progress for reception of rights</w:t>
      </w:r>
      <w:r w:rsidRPr="0011626D">
        <w:rPr>
          <w:lang w:val="en-CA"/>
        </w:rPr>
        <w:t xml:space="preserve"> it is reported that</w:t>
      </w:r>
      <w:r w:rsidRPr="0011626D">
        <w:rPr>
          <w:b/>
          <w:lang w:val="en-CA"/>
        </w:rPr>
        <w:t xml:space="preserve"> “</w:t>
      </w:r>
      <w:r w:rsidRPr="0011626D">
        <w:rPr>
          <w:rStyle w:val="hps"/>
          <w:lang w:val="en-CA"/>
        </w:rPr>
        <w:t xml:space="preserve">criminal records on the assaults, attempted murder, causing harm, etc, are not disaggregated by the sex of the victim or perpetrator or readily available based on the cause.  Therefore, those due to domestic violence are not easily ascertained.  The same is true about the records from the Accidents and Emergency Department of the General Hospital.”  </w:t>
      </w:r>
    </w:p>
    <w:p w:rsidR="00F737C1" w:rsidRDefault="00F737C1" w:rsidP="00700A12">
      <w:pPr>
        <w:jc w:val="both"/>
        <w:rPr>
          <w:lang w:val="en-CA"/>
        </w:rPr>
      </w:pPr>
    </w:p>
    <w:p w:rsidR="00F737C1" w:rsidRDefault="00F737C1" w:rsidP="00700A12">
      <w:pPr>
        <w:numPr>
          <w:ilvl w:val="0"/>
          <w:numId w:val="23"/>
        </w:numPr>
        <w:jc w:val="both"/>
        <w:rPr>
          <w:b/>
          <w:caps/>
          <w:lang w:val="en-CA"/>
        </w:rPr>
      </w:pPr>
      <w:r w:rsidRPr="0011626D">
        <w:rPr>
          <w:lang w:val="en-CA"/>
        </w:rPr>
        <w:t>Domestic violence record kept and submitted by the Domestic Violence Unit for processing</w:t>
      </w:r>
      <w:r>
        <w:rPr>
          <w:lang w:val="en-CA"/>
        </w:rPr>
        <w:t>.</w:t>
      </w:r>
      <w:r w:rsidRPr="0011626D">
        <w:rPr>
          <w:lang w:val="en-CA"/>
        </w:rPr>
        <w:t xml:space="preserve"> </w:t>
      </w:r>
    </w:p>
    <w:p w:rsidR="00F737C1" w:rsidRDefault="00F737C1" w:rsidP="00700A12">
      <w:pPr>
        <w:jc w:val="both"/>
        <w:rPr>
          <w:lang w:val="en-CA"/>
        </w:rPr>
      </w:pPr>
    </w:p>
    <w:p w:rsidR="00F737C1" w:rsidRPr="00700A12" w:rsidRDefault="00F737C1" w:rsidP="00700A12">
      <w:pPr>
        <w:numPr>
          <w:ilvl w:val="0"/>
          <w:numId w:val="23"/>
        </w:numPr>
        <w:jc w:val="both"/>
        <w:rPr>
          <w:b/>
          <w:caps/>
          <w:lang w:val="en-CA"/>
        </w:rPr>
      </w:pPr>
      <w:r w:rsidRPr="0011626D">
        <w:rPr>
          <w:lang w:val="en-CA"/>
        </w:rPr>
        <w:t xml:space="preserve">The report was silent on records kept by the court, prosecution offices, and health centres. No mention </w:t>
      </w:r>
      <w:r>
        <w:rPr>
          <w:lang w:val="en-CA"/>
        </w:rPr>
        <w:t xml:space="preserve">is </w:t>
      </w:r>
      <w:r w:rsidRPr="0011626D">
        <w:rPr>
          <w:lang w:val="en-CA"/>
        </w:rPr>
        <w:t>made of the following:</w:t>
      </w:r>
    </w:p>
    <w:p w:rsidR="00F737C1" w:rsidRDefault="00F737C1" w:rsidP="00700A12">
      <w:pPr>
        <w:jc w:val="both"/>
        <w:rPr>
          <w:b/>
          <w:caps/>
          <w:lang w:val="en-CA"/>
        </w:rPr>
      </w:pPr>
    </w:p>
    <w:p w:rsidR="00F737C1" w:rsidRPr="0011626D" w:rsidRDefault="00F737C1" w:rsidP="00700A12">
      <w:pPr>
        <w:pStyle w:val="ListParagraph"/>
        <w:numPr>
          <w:ilvl w:val="0"/>
          <w:numId w:val="16"/>
        </w:numPr>
        <w:tabs>
          <w:tab w:val="left" w:pos="1080"/>
        </w:tabs>
        <w:spacing w:after="120"/>
        <w:ind w:left="1080"/>
        <w:contextualSpacing w:val="0"/>
        <w:jc w:val="both"/>
        <w:rPr>
          <w:lang w:val="en-CA"/>
        </w:rPr>
      </w:pPr>
      <w:r>
        <w:rPr>
          <w:lang w:val="en-CA"/>
        </w:rPr>
        <w:t>P</w:t>
      </w:r>
      <w:r w:rsidRPr="0011626D">
        <w:rPr>
          <w:lang w:val="en-CA"/>
        </w:rPr>
        <w:t>ublic attorney</w:t>
      </w:r>
      <w:r>
        <w:rPr>
          <w:lang w:val="en-CA"/>
        </w:rPr>
        <w:t>’s</w:t>
      </w:r>
      <w:r w:rsidRPr="0011626D">
        <w:rPr>
          <w:lang w:val="en-CA"/>
        </w:rPr>
        <w:t xml:space="preserve"> offices of compliance and violence against women </w:t>
      </w:r>
    </w:p>
    <w:p w:rsidR="00F737C1" w:rsidRPr="0011626D" w:rsidRDefault="00F737C1" w:rsidP="00700A12">
      <w:pPr>
        <w:pStyle w:val="ListParagraph"/>
        <w:numPr>
          <w:ilvl w:val="0"/>
          <w:numId w:val="16"/>
        </w:numPr>
        <w:tabs>
          <w:tab w:val="left" w:pos="1080"/>
        </w:tabs>
        <w:spacing w:after="120"/>
        <w:ind w:left="1080"/>
        <w:contextualSpacing w:val="0"/>
        <w:jc w:val="both"/>
        <w:rPr>
          <w:lang w:val="en-CA"/>
        </w:rPr>
      </w:pPr>
      <w:r>
        <w:rPr>
          <w:lang w:val="en-CA"/>
        </w:rPr>
        <w:t>P</w:t>
      </w:r>
      <w:r w:rsidRPr="0011626D">
        <w:rPr>
          <w:lang w:val="en-CA"/>
        </w:rPr>
        <w:t xml:space="preserve">ublication of data </w:t>
      </w:r>
    </w:p>
    <w:p w:rsidR="00F737C1" w:rsidRPr="0011626D" w:rsidRDefault="00F737C1" w:rsidP="00700A12">
      <w:pPr>
        <w:pStyle w:val="ListParagraph"/>
        <w:numPr>
          <w:ilvl w:val="0"/>
          <w:numId w:val="16"/>
        </w:numPr>
        <w:tabs>
          <w:tab w:val="left" w:pos="1080"/>
        </w:tabs>
        <w:spacing w:after="120"/>
        <w:ind w:left="1080"/>
        <w:contextualSpacing w:val="0"/>
        <w:jc w:val="both"/>
        <w:rPr>
          <w:lang w:val="en-CA"/>
        </w:rPr>
      </w:pPr>
      <w:r w:rsidRPr="0011626D">
        <w:rPr>
          <w:lang w:val="en-CA"/>
        </w:rPr>
        <w:t xml:space="preserve">Registries at the police station and in the judiciary on </w:t>
      </w:r>
      <w:proofErr w:type="spellStart"/>
      <w:r w:rsidRPr="0011626D">
        <w:rPr>
          <w:lang w:val="en-CA"/>
        </w:rPr>
        <w:t>femicide</w:t>
      </w:r>
      <w:proofErr w:type="spellEnd"/>
    </w:p>
    <w:p w:rsidR="00F737C1" w:rsidRPr="0011626D" w:rsidRDefault="00F737C1" w:rsidP="00700A12">
      <w:pPr>
        <w:pStyle w:val="ListParagraph"/>
        <w:numPr>
          <w:ilvl w:val="0"/>
          <w:numId w:val="16"/>
        </w:numPr>
        <w:tabs>
          <w:tab w:val="left" w:pos="1080"/>
        </w:tabs>
        <w:spacing w:after="120"/>
        <w:ind w:left="1080"/>
        <w:contextualSpacing w:val="0"/>
        <w:jc w:val="both"/>
        <w:rPr>
          <w:lang w:val="en-CA"/>
        </w:rPr>
      </w:pPr>
      <w:r w:rsidRPr="0011626D">
        <w:rPr>
          <w:lang w:val="en-CA"/>
        </w:rPr>
        <w:lastRenderedPageBreak/>
        <w:t>Established rules for proper coordination between national statistic agencies and women institutes.</w:t>
      </w:r>
    </w:p>
    <w:p w:rsidR="00F737C1" w:rsidRPr="0011626D" w:rsidRDefault="00F737C1" w:rsidP="00700A12">
      <w:pPr>
        <w:jc w:val="both"/>
        <w:rPr>
          <w:lang w:val="en-CA"/>
        </w:rPr>
      </w:pPr>
    </w:p>
    <w:p w:rsidR="00F737C1" w:rsidRDefault="00F737C1" w:rsidP="00700A12">
      <w:pPr>
        <w:jc w:val="both"/>
        <w:rPr>
          <w:lang w:val="en-CA"/>
        </w:rPr>
      </w:pPr>
      <w:r w:rsidRPr="0011626D">
        <w:rPr>
          <w:b/>
          <w:lang w:val="en-CA"/>
        </w:rPr>
        <w:t>Process</w:t>
      </w:r>
    </w:p>
    <w:p w:rsidR="00F737C1" w:rsidRPr="00700A12" w:rsidRDefault="00F737C1" w:rsidP="00700A12">
      <w:pPr>
        <w:numPr>
          <w:ilvl w:val="0"/>
          <w:numId w:val="23"/>
        </w:numPr>
        <w:jc w:val="both"/>
        <w:rPr>
          <w:b/>
          <w:caps/>
          <w:lang w:val="en-CA"/>
        </w:rPr>
      </w:pPr>
      <w:r w:rsidRPr="0011626D">
        <w:rPr>
          <w:lang w:val="en-CA"/>
        </w:rPr>
        <w:t xml:space="preserve">In the 2009- 2011 </w:t>
      </w:r>
      <w:r>
        <w:rPr>
          <w:lang w:val="en-CA"/>
        </w:rPr>
        <w:t xml:space="preserve">these </w:t>
      </w:r>
      <w:r w:rsidRPr="0011626D">
        <w:rPr>
          <w:lang w:val="en-CA"/>
        </w:rPr>
        <w:t>two pieces of research w</w:t>
      </w:r>
      <w:r>
        <w:rPr>
          <w:lang w:val="en-CA"/>
        </w:rPr>
        <w:t xml:space="preserve">ere </w:t>
      </w:r>
      <w:r w:rsidRPr="0011626D">
        <w:rPr>
          <w:lang w:val="en-CA"/>
        </w:rPr>
        <w:t>as follows:</w:t>
      </w:r>
    </w:p>
    <w:p w:rsidR="00F737C1" w:rsidRDefault="00F737C1" w:rsidP="00700A12">
      <w:pPr>
        <w:jc w:val="both"/>
        <w:rPr>
          <w:lang w:val="en-CA"/>
        </w:rPr>
      </w:pPr>
      <w:r>
        <w:rPr>
          <w:lang w:val="en-CA"/>
        </w:rPr>
        <w:t xml:space="preserve"> </w:t>
      </w:r>
    </w:p>
    <w:p w:rsidR="00F737C1" w:rsidRPr="0011626D" w:rsidRDefault="00F737C1" w:rsidP="00700A12">
      <w:pPr>
        <w:pStyle w:val="ListParagraph"/>
        <w:numPr>
          <w:ilvl w:val="0"/>
          <w:numId w:val="17"/>
        </w:numPr>
        <w:tabs>
          <w:tab w:val="left" w:pos="1080"/>
          <w:tab w:val="left" w:pos="1980"/>
        </w:tabs>
        <w:ind w:left="1170" w:hanging="450"/>
        <w:contextualSpacing w:val="0"/>
        <w:jc w:val="both"/>
        <w:rPr>
          <w:rFonts w:cs="Arial"/>
          <w:lang w:val="en-CA" w:eastAsia="es-ES"/>
        </w:rPr>
      </w:pPr>
      <w:r w:rsidRPr="0011626D">
        <w:rPr>
          <w:rFonts w:cs="Arial"/>
          <w:lang w:val="en-CA" w:eastAsia="es-ES"/>
        </w:rPr>
        <w:t xml:space="preserve">Mapping of Existing Social Service Delivery Systems and Identification of Gaps in Current Services” in terms of child protection, domestic violence and juvenile justice components for the implementation of OECS Family Law Reform </w:t>
      </w:r>
    </w:p>
    <w:p w:rsidR="00F737C1" w:rsidRPr="0011626D" w:rsidRDefault="00F737C1" w:rsidP="00700A12">
      <w:pPr>
        <w:pStyle w:val="ListParagraph"/>
        <w:numPr>
          <w:ilvl w:val="0"/>
          <w:numId w:val="17"/>
        </w:numPr>
        <w:tabs>
          <w:tab w:val="left" w:pos="1080"/>
          <w:tab w:val="left" w:pos="1980"/>
        </w:tabs>
        <w:ind w:left="1170" w:hanging="450"/>
        <w:contextualSpacing w:val="0"/>
        <w:jc w:val="both"/>
        <w:rPr>
          <w:rFonts w:cs="Arial"/>
          <w:lang w:val="en-CA" w:eastAsia="es-ES"/>
        </w:rPr>
      </w:pPr>
      <w:r w:rsidRPr="0011626D">
        <w:rPr>
          <w:rFonts w:cs="Arial"/>
          <w:lang w:val="en-CA" w:eastAsia="es-ES"/>
        </w:rPr>
        <w:t xml:space="preserve">Review of Policing and Prosecution of Sexual Offences: Country Report for Grenada  </w:t>
      </w:r>
    </w:p>
    <w:p w:rsidR="00F737C1" w:rsidRDefault="00F737C1" w:rsidP="00700A12">
      <w:pPr>
        <w:jc w:val="both"/>
        <w:rPr>
          <w:b/>
          <w:caps/>
          <w:lang w:val="en-CA"/>
        </w:rPr>
      </w:pPr>
    </w:p>
    <w:p w:rsidR="00F737C1" w:rsidRDefault="00F737C1" w:rsidP="00700A12">
      <w:pPr>
        <w:jc w:val="both"/>
        <w:rPr>
          <w:b/>
          <w:caps/>
          <w:lang w:val="en-CA"/>
        </w:rPr>
      </w:pPr>
      <w:r w:rsidRPr="0011626D">
        <w:rPr>
          <w:b/>
          <w:lang w:val="en-CA"/>
        </w:rPr>
        <w:t>Result</w:t>
      </w:r>
    </w:p>
    <w:p w:rsidR="00F737C1" w:rsidRPr="00700A12" w:rsidRDefault="00F737C1" w:rsidP="00700A12">
      <w:pPr>
        <w:numPr>
          <w:ilvl w:val="0"/>
          <w:numId w:val="23"/>
        </w:numPr>
        <w:jc w:val="both"/>
        <w:rPr>
          <w:b/>
          <w:caps/>
          <w:lang w:val="en-CA"/>
        </w:rPr>
      </w:pPr>
      <w:r>
        <w:rPr>
          <w:lang w:val="en-CA"/>
        </w:rPr>
        <w:t>No response given.</w:t>
      </w:r>
    </w:p>
    <w:p w:rsidR="00F737C1" w:rsidRDefault="00F737C1" w:rsidP="00700A12">
      <w:pPr>
        <w:jc w:val="both"/>
        <w:rPr>
          <w:b/>
          <w:caps/>
          <w:lang w:val="en-CA"/>
        </w:rPr>
      </w:pPr>
    </w:p>
    <w:p w:rsidR="00F737C1" w:rsidRDefault="00F737C1" w:rsidP="00700A12">
      <w:pPr>
        <w:numPr>
          <w:ilvl w:val="0"/>
          <w:numId w:val="23"/>
        </w:numPr>
        <w:jc w:val="both"/>
        <w:rPr>
          <w:b/>
          <w:caps/>
          <w:lang w:val="en-CA"/>
        </w:rPr>
      </w:pPr>
      <w:r w:rsidRPr="00FE7AEF">
        <w:rPr>
          <w:lang w:val="en-CA"/>
        </w:rPr>
        <w:t>Existence of records in the health system</w:t>
      </w:r>
      <w:r>
        <w:rPr>
          <w:lang w:val="en-CA"/>
        </w:rPr>
        <w:t>,</w:t>
      </w:r>
      <w:r w:rsidRPr="00FE7AEF">
        <w:rPr>
          <w:lang w:val="en-CA"/>
        </w:rPr>
        <w:t xml:space="preserve"> care of victims of VAW and publication of data, no quantitative date provided by age, marital status, types of violence, location, types of complaint, trial, types of conv</w:t>
      </w:r>
      <w:r>
        <w:rPr>
          <w:lang w:val="en-CA"/>
        </w:rPr>
        <w:t>i</w:t>
      </w:r>
      <w:r w:rsidRPr="00FE7AEF">
        <w:rPr>
          <w:lang w:val="en-CA"/>
        </w:rPr>
        <w:t xml:space="preserve">ction and cause of death for: </w:t>
      </w:r>
    </w:p>
    <w:p w:rsidR="00F737C1" w:rsidRDefault="00F737C1" w:rsidP="00700A12">
      <w:pPr>
        <w:jc w:val="both"/>
        <w:rPr>
          <w:lang w:val="en-CA"/>
        </w:rPr>
      </w:pPr>
    </w:p>
    <w:p w:rsidR="00F737C1" w:rsidRPr="00111B59" w:rsidRDefault="00F737C1" w:rsidP="00700A12">
      <w:pPr>
        <w:pStyle w:val="ListParagraph"/>
        <w:numPr>
          <w:ilvl w:val="0"/>
          <w:numId w:val="2"/>
        </w:numPr>
        <w:tabs>
          <w:tab w:val="left" w:pos="1350"/>
        </w:tabs>
        <w:spacing w:after="120"/>
        <w:contextualSpacing w:val="0"/>
        <w:jc w:val="both"/>
        <w:rPr>
          <w:lang w:val="en-CA"/>
        </w:rPr>
      </w:pPr>
      <w:r w:rsidRPr="00111B59">
        <w:rPr>
          <w:lang w:val="en-CA"/>
        </w:rPr>
        <w:t xml:space="preserve">Number of female victims of violence each year </w:t>
      </w:r>
    </w:p>
    <w:p w:rsidR="00F737C1" w:rsidRPr="00111B59" w:rsidRDefault="00F737C1" w:rsidP="00700A12">
      <w:pPr>
        <w:pStyle w:val="ListParagraph"/>
        <w:numPr>
          <w:ilvl w:val="0"/>
          <w:numId w:val="2"/>
        </w:numPr>
        <w:tabs>
          <w:tab w:val="left" w:pos="1350"/>
        </w:tabs>
        <w:spacing w:after="120"/>
        <w:contextualSpacing w:val="0"/>
        <w:jc w:val="both"/>
        <w:rPr>
          <w:lang w:val="en-CA"/>
        </w:rPr>
      </w:pPr>
      <w:r w:rsidRPr="00111B59">
        <w:rPr>
          <w:lang w:val="en-CA"/>
        </w:rPr>
        <w:t>Number of tr</w:t>
      </w:r>
      <w:r>
        <w:rPr>
          <w:lang w:val="en-CA"/>
        </w:rPr>
        <w:t>i</w:t>
      </w:r>
      <w:r w:rsidRPr="00111B59">
        <w:rPr>
          <w:lang w:val="en-CA"/>
        </w:rPr>
        <w:t xml:space="preserve">als for VAW </w:t>
      </w:r>
    </w:p>
    <w:p w:rsidR="00F737C1" w:rsidRPr="00111B59" w:rsidRDefault="00F737C1" w:rsidP="00700A12">
      <w:pPr>
        <w:pStyle w:val="ListParagraph"/>
        <w:numPr>
          <w:ilvl w:val="0"/>
          <w:numId w:val="2"/>
        </w:numPr>
        <w:tabs>
          <w:tab w:val="left" w:pos="1350"/>
        </w:tabs>
        <w:spacing w:after="120"/>
        <w:contextualSpacing w:val="0"/>
        <w:jc w:val="both"/>
        <w:rPr>
          <w:lang w:val="en-CA"/>
        </w:rPr>
      </w:pPr>
      <w:r w:rsidRPr="00111B59">
        <w:rPr>
          <w:lang w:val="en-CA"/>
        </w:rPr>
        <w:t>Number of tr</w:t>
      </w:r>
      <w:r>
        <w:rPr>
          <w:lang w:val="en-CA"/>
        </w:rPr>
        <w:t>i</w:t>
      </w:r>
      <w:r w:rsidRPr="00111B59">
        <w:rPr>
          <w:lang w:val="en-CA"/>
        </w:rPr>
        <w:t>al</w:t>
      </w:r>
      <w:r>
        <w:rPr>
          <w:lang w:val="en-CA"/>
        </w:rPr>
        <w:t>s</w:t>
      </w:r>
      <w:r w:rsidRPr="00111B59">
        <w:rPr>
          <w:lang w:val="en-CA"/>
        </w:rPr>
        <w:t xml:space="preserve"> for ending with conv</w:t>
      </w:r>
      <w:r>
        <w:rPr>
          <w:lang w:val="en-CA"/>
        </w:rPr>
        <w:t>ic</w:t>
      </w:r>
      <w:r w:rsidRPr="00111B59">
        <w:rPr>
          <w:lang w:val="en-CA"/>
        </w:rPr>
        <w:t>tion</w:t>
      </w:r>
    </w:p>
    <w:p w:rsidR="00F737C1" w:rsidRPr="0011626D" w:rsidRDefault="00F737C1" w:rsidP="00700A12">
      <w:pPr>
        <w:pStyle w:val="ListParagraph"/>
        <w:ind w:left="1080"/>
        <w:jc w:val="both"/>
        <w:rPr>
          <w:b/>
          <w:lang w:val="en-CA"/>
        </w:rPr>
      </w:pPr>
    </w:p>
    <w:p w:rsidR="00F737C1" w:rsidRPr="0011626D" w:rsidRDefault="00F737C1" w:rsidP="00700A12">
      <w:pPr>
        <w:pStyle w:val="ListParagraph"/>
        <w:numPr>
          <w:ilvl w:val="0"/>
          <w:numId w:val="5"/>
        </w:numPr>
        <w:ind w:left="720"/>
        <w:jc w:val="both"/>
        <w:rPr>
          <w:b/>
          <w:lang w:val="en-CA"/>
        </w:rPr>
      </w:pPr>
      <w:r w:rsidRPr="0011626D">
        <w:rPr>
          <w:b/>
          <w:lang w:val="en-CA"/>
        </w:rPr>
        <w:t>Basic Financial Context and Budget Commitments</w:t>
      </w:r>
    </w:p>
    <w:p w:rsidR="00F737C1" w:rsidRDefault="00F737C1" w:rsidP="00700A12">
      <w:pPr>
        <w:jc w:val="both"/>
        <w:rPr>
          <w:lang w:val="en-CA"/>
        </w:rPr>
      </w:pPr>
    </w:p>
    <w:p w:rsidR="00F737C1" w:rsidRDefault="00F737C1" w:rsidP="00700A12">
      <w:pPr>
        <w:numPr>
          <w:ilvl w:val="0"/>
          <w:numId w:val="23"/>
        </w:numPr>
        <w:jc w:val="both"/>
        <w:rPr>
          <w:b/>
          <w:caps/>
          <w:lang w:val="en-CA"/>
        </w:rPr>
      </w:pPr>
      <w:r w:rsidRPr="0011626D">
        <w:rPr>
          <w:lang w:val="en-CA"/>
        </w:rPr>
        <w:t>No information provided</w:t>
      </w:r>
      <w:r>
        <w:rPr>
          <w:lang w:val="en-CA"/>
        </w:rPr>
        <w:t>.</w:t>
      </w:r>
    </w:p>
    <w:p w:rsidR="00F737C1" w:rsidRDefault="00F737C1" w:rsidP="00700A12">
      <w:pPr>
        <w:jc w:val="both"/>
        <w:rPr>
          <w:b/>
          <w:lang w:val="en-CA"/>
        </w:rPr>
      </w:pPr>
    </w:p>
    <w:p w:rsidR="00F737C1" w:rsidRDefault="00F737C1" w:rsidP="00700A12">
      <w:pPr>
        <w:jc w:val="both"/>
        <w:rPr>
          <w:b/>
          <w:caps/>
          <w:lang w:val="en-CA"/>
        </w:rPr>
      </w:pPr>
      <w:r w:rsidRPr="0011626D">
        <w:rPr>
          <w:b/>
          <w:lang w:val="en-CA"/>
        </w:rPr>
        <w:t>Qualitative Signs of Progress</w:t>
      </w:r>
    </w:p>
    <w:p w:rsidR="00F737C1" w:rsidRDefault="00F737C1" w:rsidP="00700A12">
      <w:pPr>
        <w:numPr>
          <w:ilvl w:val="0"/>
          <w:numId w:val="23"/>
        </w:numPr>
        <w:jc w:val="both"/>
        <w:rPr>
          <w:b/>
          <w:caps/>
          <w:lang w:val="en-CA"/>
        </w:rPr>
      </w:pPr>
      <w:r w:rsidRPr="0011626D">
        <w:rPr>
          <w:lang w:val="en-CA"/>
        </w:rPr>
        <w:t>Qualitative signs of progress omitted.</w:t>
      </w:r>
    </w:p>
    <w:p w:rsidR="00F737C1" w:rsidRDefault="00F737C1" w:rsidP="00700A12">
      <w:pPr>
        <w:jc w:val="both"/>
        <w:rPr>
          <w:b/>
          <w:lang w:val="en-CA"/>
        </w:rPr>
      </w:pPr>
    </w:p>
    <w:p w:rsidR="00F737C1" w:rsidRDefault="00F737C1" w:rsidP="00700A12">
      <w:pPr>
        <w:jc w:val="both"/>
        <w:rPr>
          <w:b/>
          <w:caps/>
          <w:lang w:val="en-CA"/>
        </w:rPr>
      </w:pPr>
      <w:r w:rsidRPr="0011626D">
        <w:rPr>
          <w:b/>
          <w:lang w:val="en-CA"/>
        </w:rPr>
        <w:t>Process</w:t>
      </w:r>
    </w:p>
    <w:p w:rsidR="00F737C1" w:rsidRDefault="00F737C1" w:rsidP="00700A12">
      <w:pPr>
        <w:numPr>
          <w:ilvl w:val="0"/>
          <w:numId w:val="23"/>
        </w:numPr>
        <w:jc w:val="both"/>
        <w:rPr>
          <w:b/>
          <w:caps/>
          <w:lang w:val="en-CA"/>
        </w:rPr>
      </w:pPr>
      <w:r>
        <w:rPr>
          <w:lang w:val="en-CA"/>
        </w:rPr>
        <w:t>No process given.</w:t>
      </w:r>
    </w:p>
    <w:p w:rsidR="00F737C1" w:rsidRDefault="00F737C1" w:rsidP="00700A12">
      <w:pPr>
        <w:jc w:val="both"/>
        <w:rPr>
          <w:b/>
          <w:caps/>
          <w:lang w:val="en-CA"/>
        </w:rPr>
      </w:pPr>
    </w:p>
    <w:p w:rsidR="00F737C1" w:rsidRDefault="00F737C1" w:rsidP="00700A12">
      <w:pPr>
        <w:jc w:val="both"/>
        <w:rPr>
          <w:b/>
          <w:caps/>
          <w:lang w:val="en-CA"/>
        </w:rPr>
      </w:pPr>
      <w:r w:rsidRPr="0011626D">
        <w:rPr>
          <w:b/>
          <w:lang w:val="en-CA"/>
        </w:rPr>
        <w:t>Result</w:t>
      </w:r>
    </w:p>
    <w:p w:rsidR="00F737C1" w:rsidRPr="00700A12" w:rsidRDefault="00F737C1" w:rsidP="00700A12">
      <w:pPr>
        <w:numPr>
          <w:ilvl w:val="0"/>
          <w:numId w:val="23"/>
        </w:numPr>
        <w:jc w:val="both"/>
        <w:rPr>
          <w:b/>
          <w:caps/>
          <w:lang w:val="en-CA"/>
        </w:rPr>
      </w:pPr>
      <w:r w:rsidRPr="0011626D">
        <w:rPr>
          <w:lang w:val="en-CA"/>
        </w:rPr>
        <w:t>No response given</w:t>
      </w:r>
      <w:r>
        <w:rPr>
          <w:lang w:val="en-CA"/>
        </w:rPr>
        <w:t>.</w:t>
      </w:r>
      <w:r w:rsidRPr="0011626D">
        <w:rPr>
          <w:lang w:val="en-CA"/>
        </w:rPr>
        <w:t xml:space="preserve"> </w:t>
      </w:r>
    </w:p>
    <w:p w:rsidR="00F737C1" w:rsidRDefault="00F737C1" w:rsidP="00700A12">
      <w:pPr>
        <w:jc w:val="both"/>
        <w:rPr>
          <w:lang w:val="en-CA"/>
        </w:rPr>
      </w:pPr>
    </w:p>
    <w:p w:rsidR="00F737C1" w:rsidRPr="0011626D" w:rsidRDefault="00F737C1" w:rsidP="00700A12">
      <w:pPr>
        <w:pStyle w:val="ListParagraph"/>
        <w:numPr>
          <w:ilvl w:val="0"/>
          <w:numId w:val="5"/>
        </w:numPr>
        <w:ind w:left="720"/>
        <w:jc w:val="both"/>
        <w:rPr>
          <w:b/>
          <w:lang w:val="en-CA"/>
        </w:rPr>
      </w:pPr>
      <w:r w:rsidRPr="0011626D">
        <w:rPr>
          <w:b/>
          <w:lang w:val="en-CA"/>
        </w:rPr>
        <w:t>State Capabilities</w:t>
      </w:r>
      <w:r w:rsidRPr="0011626D">
        <w:rPr>
          <w:lang w:val="en-CA"/>
        </w:rPr>
        <w:t xml:space="preserve"> </w:t>
      </w:r>
    </w:p>
    <w:p w:rsidR="00F737C1" w:rsidRPr="0011626D" w:rsidRDefault="00F737C1" w:rsidP="00700A12">
      <w:pPr>
        <w:pStyle w:val="ListParagraph"/>
        <w:ind w:left="1080"/>
        <w:jc w:val="both"/>
        <w:rPr>
          <w:b/>
          <w:lang w:val="en-CA"/>
        </w:rPr>
      </w:pPr>
    </w:p>
    <w:p w:rsidR="00F737C1" w:rsidRPr="00736D6F" w:rsidRDefault="00F737C1" w:rsidP="00700A12">
      <w:pPr>
        <w:ind w:firstLine="720"/>
        <w:jc w:val="both"/>
        <w:rPr>
          <w:b/>
          <w:lang w:val="en-CA"/>
        </w:rPr>
      </w:pPr>
      <w:r w:rsidRPr="00736D6F">
        <w:rPr>
          <w:b/>
          <w:lang w:val="en-CA"/>
        </w:rPr>
        <w:t>Qualitative Signs of Progress</w:t>
      </w:r>
    </w:p>
    <w:p w:rsidR="00F737C1" w:rsidRDefault="00F737C1" w:rsidP="00700A12">
      <w:pPr>
        <w:jc w:val="both"/>
        <w:rPr>
          <w:b/>
          <w:caps/>
          <w:lang w:val="en-CA"/>
        </w:rPr>
      </w:pPr>
    </w:p>
    <w:p w:rsidR="00F737C1" w:rsidRDefault="00F737C1" w:rsidP="00700A12">
      <w:pPr>
        <w:numPr>
          <w:ilvl w:val="0"/>
          <w:numId w:val="23"/>
        </w:numPr>
        <w:jc w:val="both"/>
        <w:rPr>
          <w:b/>
          <w:caps/>
          <w:lang w:val="en-CA"/>
        </w:rPr>
      </w:pPr>
      <w:r w:rsidRPr="0011626D">
        <w:rPr>
          <w:lang w:val="en-CA"/>
        </w:rPr>
        <w:t>A number of researches have been done in Grenada between the period 2009 and 2014. Some of these were done by external agencies</w:t>
      </w:r>
      <w:r>
        <w:rPr>
          <w:lang w:val="en-CA"/>
        </w:rPr>
        <w:t xml:space="preserve"> e</w:t>
      </w:r>
      <w:r w:rsidRPr="0011626D">
        <w:rPr>
          <w:lang w:val="en-CA"/>
        </w:rPr>
        <w:t>.</w:t>
      </w:r>
      <w:r>
        <w:rPr>
          <w:lang w:val="en-CA"/>
        </w:rPr>
        <w:t>g.:</w:t>
      </w:r>
      <w:r w:rsidRPr="0011626D">
        <w:rPr>
          <w:lang w:val="en-CA"/>
        </w:rPr>
        <w:t xml:space="preserve"> </w:t>
      </w:r>
    </w:p>
    <w:p w:rsidR="00F737C1" w:rsidRDefault="00F737C1" w:rsidP="00700A12">
      <w:pPr>
        <w:jc w:val="both"/>
        <w:rPr>
          <w:b/>
          <w:caps/>
          <w:lang w:val="en-CA"/>
        </w:rPr>
      </w:pPr>
    </w:p>
    <w:p w:rsidR="00F737C1" w:rsidRDefault="00F737C1" w:rsidP="00700A12">
      <w:pPr>
        <w:numPr>
          <w:ilvl w:val="0"/>
          <w:numId w:val="23"/>
        </w:numPr>
        <w:jc w:val="both"/>
        <w:rPr>
          <w:b/>
          <w:caps/>
          <w:lang w:val="en-CA"/>
        </w:rPr>
      </w:pPr>
      <w:r w:rsidRPr="0011626D">
        <w:rPr>
          <w:lang w:val="en-CA"/>
        </w:rPr>
        <w:lastRenderedPageBreak/>
        <w:t xml:space="preserve">United Nations Children Fund (UNICEF), Action for Children and </w:t>
      </w:r>
      <w:proofErr w:type="spellStart"/>
      <w:r w:rsidRPr="0011626D">
        <w:rPr>
          <w:lang w:val="en-CA"/>
        </w:rPr>
        <w:t>Huddersfield</w:t>
      </w:r>
      <w:proofErr w:type="spellEnd"/>
      <w:r w:rsidRPr="0011626D">
        <w:rPr>
          <w:lang w:val="en-CA"/>
        </w:rPr>
        <w:t xml:space="preserve"> University into “Perceptions of, Attitudes to, and Opinions on Child Sexual Abuse in the Eastern Caribbean” was supported. </w:t>
      </w:r>
    </w:p>
    <w:p w:rsidR="00F737C1" w:rsidRDefault="00F737C1" w:rsidP="00700A12">
      <w:pPr>
        <w:jc w:val="both"/>
        <w:rPr>
          <w:lang w:val="en-CA"/>
        </w:rPr>
      </w:pPr>
    </w:p>
    <w:p w:rsidR="00F737C1" w:rsidRPr="00700A12" w:rsidRDefault="00F737C1" w:rsidP="00700A12">
      <w:pPr>
        <w:numPr>
          <w:ilvl w:val="0"/>
          <w:numId w:val="23"/>
        </w:numPr>
        <w:jc w:val="both"/>
        <w:rPr>
          <w:b/>
          <w:caps/>
          <w:lang w:val="en-CA"/>
        </w:rPr>
      </w:pPr>
      <w:r w:rsidRPr="0011626D">
        <w:rPr>
          <w:lang w:val="en-CA"/>
        </w:rPr>
        <w:t>The Inter-American Commission on Women (CIM) - Grenada is currently participating in a research project on VAW</w:t>
      </w:r>
      <w:r w:rsidRPr="0011626D" w:rsidDel="00B40877">
        <w:rPr>
          <w:lang w:val="en-CA"/>
        </w:rPr>
        <w:t xml:space="preserve"> </w:t>
      </w:r>
      <w:r w:rsidRPr="0011626D">
        <w:rPr>
          <w:lang w:val="en-CA"/>
        </w:rPr>
        <w:t>commissioned for the Member States of the Organisation of Easter</w:t>
      </w:r>
      <w:r>
        <w:rPr>
          <w:lang w:val="en-CA"/>
        </w:rPr>
        <w:t>n Caribbean States (OECS).</w:t>
      </w:r>
    </w:p>
    <w:p w:rsidR="00F737C1" w:rsidRDefault="00F737C1" w:rsidP="00700A12">
      <w:pPr>
        <w:jc w:val="both"/>
        <w:rPr>
          <w:lang w:val="en-CA"/>
        </w:rPr>
      </w:pPr>
    </w:p>
    <w:p w:rsidR="00F737C1" w:rsidRDefault="00F737C1" w:rsidP="00700A12">
      <w:pPr>
        <w:numPr>
          <w:ilvl w:val="0"/>
          <w:numId w:val="23"/>
        </w:numPr>
        <w:jc w:val="both"/>
        <w:rPr>
          <w:b/>
          <w:caps/>
          <w:lang w:val="en-CA"/>
        </w:rPr>
      </w:pPr>
      <w:r>
        <w:rPr>
          <w:lang w:val="en-CA"/>
        </w:rPr>
        <w:t>Grenada</w:t>
      </w:r>
      <w:r w:rsidRPr="0011626D">
        <w:rPr>
          <w:lang w:val="en-CA"/>
        </w:rPr>
        <w:t xml:space="preserve"> has participated </w:t>
      </w:r>
      <w:r>
        <w:rPr>
          <w:lang w:val="en-CA"/>
        </w:rPr>
        <w:t xml:space="preserve">also </w:t>
      </w:r>
      <w:r w:rsidRPr="0011626D">
        <w:rPr>
          <w:lang w:val="en-CA"/>
        </w:rPr>
        <w:t>in research to prepare and submit reports to varying organization to which they have commitments between 2011 and 2014</w:t>
      </w:r>
      <w:r>
        <w:rPr>
          <w:lang w:val="en-CA"/>
        </w:rPr>
        <w:t>.</w:t>
      </w:r>
      <w:r w:rsidRPr="0011626D">
        <w:rPr>
          <w:lang w:val="en-CA"/>
        </w:rPr>
        <w:t xml:space="preserve"> </w:t>
      </w:r>
    </w:p>
    <w:p w:rsidR="00F737C1" w:rsidRDefault="00F737C1" w:rsidP="00700A12">
      <w:pPr>
        <w:jc w:val="both"/>
        <w:rPr>
          <w:lang w:val="en-CA"/>
        </w:rPr>
      </w:pPr>
    </w:p>
    <w:p w:rsidR="00F737C1" w:rsidRPr="0011626D" w:rsidRDefault="00F737C1" w:rsidP="00700A12">
      <w:pPr>
        <w:numPr>
          <w:ilvl w:val="0"/>
          <w:numId w:val="11"/>
        </w:numPr>
        <w:spacing w:after="120"/>
        <w:ind w:left="1440"/>
        <w:jc w:val="both"/>
        <w:rPr>
          <w:lang w:val="en-CA"/>
        </w:rPr>
      </w:pPr>
      <w:r w:rsidRPr="0011626D">
        <w:rPr>
          <w:lang w:val="en-CA"/>
        </w:rPr>
        <w:t>MESECVI in 2011</w:t>
      </w:r>
    </w:p>
    <w:p w:rsidR="00F737C1" w:rsidRPr="0011626D" w:rsidRDefault="00F737C1" w:rsidP="00700A12">
      <w:pPr>
        <w:numPr>
          <w:ilvl w:val="0"/>
          <w:numId w:val="11"/>
        </w:numPr>
        <w:spacing w:after="120"/>
        <w:ind w:left="1440"/>
        <w:jc w:val="both"/>
        <w:rPr>
          <w:lang w:val="en-CA"/>
        </w:rPr>
      </w:pPr>
      <w:r w:rsidRPr="0011626D">
        <w:rPr>
          <w:lang w:val="en-CA"/>
        </w:rPr>
        <w:t xml:space="preserve">CEDAW in 2012 </w:t>
      </w:r>
    </w:p>
    <w:p w:rsidR="00F737C1" w:rsidRPr="0011626D" w:rsidRDefault="00F737C1" w:rsidP="00700A12">
      <w:pPr>
        <w:numPr>
          <w:ilvl w:val="0"/>
          <w:numId w:val="11"/>
        </w:numPr>
        <w:spacing w:after="120"/>
        <w:ind w:left="1440"/>
        <w:jc w:val="both"/>
        <w:rPr>
          <w:lang w:val="en-CA"/>
        </w:rPr>
      </w:pPr>
      <w:r w:rsidRPr="0011626D">
        <w:rPr>
          <w:lang w:val="en-CA"/>
        </w:rPr>
        <w:t xml:space="preserve">UN Secretary General Special </w:t>
      </w:r>
      <w:proofErr w:type="spellStart"/>
      <w:r w:rsidRPr="0011626D">
        <w:rPr>
          <w:lang w:val="en-CA"/>
        </w:rPr>
        <w:t>Rapporteur</w:t>
      </w:r>
      <w:proofErr w:type="spellEnd"/>
      <w:r w:rsidRPr="0011626D">
        <w:rPr>
          <w:lang w:val="en-CA"/>
        </w:rPr>
        <w:t xml:space="preserve">  in 2012 </w:t>
      </w:r>
    </w:p>
    <w:p w:rsidR="00F737C1" w:rsidRPr="0011626D" w:rsidRDefault="00F737C1" w:rsidP="00700A12">
      <w:pPr>
        <w:numPr>
          <w:ilvl w:val="0"/>
          <w:numId w:val="11"/>
        </w:numPr>
        <w:spacing w:after="120"/>
        <w:ind w:left="1440"/>
        <w:jc w:val="both"/>
        <w:rPr>
          <w:lang w:val="en-CA"/>
        </w:rPr>
      </w:pPr>
      <w:r w:rsidRPr="0011626D">
        <w:rPr>
          <w:lang w:val="en-CA"/>
        </w:rPr>
        <w:t xml:space="preserve">UNECLAC </w:t>
      </w:r>
    </w:p>
    <w:p w:rsidR="00F737C1" w:rsidRPr="0011626D" w:rsidRDefault="00F737C1" w:rsidP="00700A12">
      <w:pPr>
        <w:numPr>
          <w:ilvl w:val="0"/>
          <w:numId w:val="11"/>
        </w:numPr>
        <w:spacing w:after="120"/>
        <w:ind w:left="1440"/>
        <w:jc w:val="both"/>
        <w:rPr>
          <w:lang w:val="en-CA"/>
        </w:rPr>
      </w:pPr>
      <w:r w:rsidRPr="0011626D">
        <w:rPr>
          <w:lang w:val="en-CA"/>
        </w:rPr>
        <w:t xml:space="preserve">Commonwealth Secretariat in 2013 </w:t>
      </w:r>
    </w:p>
    <w:p w:rsidR="00F737C1" w:rsidRDefault="00F737C1" w:rsidP="00700A12">
      <w:pPr>
        <w:numPr>
          <w:ilvl w:val="0"/>
          <w:numId w:val="11"/>
        </w:numPr>
        <w:spacing w:after="120"/>
        <w:ind w:left="1440"/>
        <w:jc w:val="both"/>
        <w:rPr>
          <w:lang w:val="en-CA"/>
        </w:rPr>
      </w:pPr>
      <w:r w:rsidRPr="0011626D">
        <w:rPr>
          <w:lang w:val="en-CA"/>
        </w:rPr>
        <w:t xml:space="preserve">Beijing +20 Review 2014 </w:t>
      </w:r>
    </w:p>
    <w:p w:rsidR="00F737C1" w:rsidRDefault="00F737C1" w:rsidP="00700A12">
      <w:pPr>
        <w:jc w:val="both"/>
        <w:rPr>
          <w:lang w:val="en-CA"/>
        </w:rPr>
      </w:pPr>
      <w:r w:rsidRPr="0011626D">
        <w:rPr>
          <w:b/>
          <w:lang w:val="en-CA"/>
        </w:rPr>
        <w:t>Process</w:t>
      </w:r>
    </w:p>
    <w:p w:rsidR="00F737C1" w:rsidRDefault="00F737C1" w:rsidP="00700A12">
      <w:pPr>
        <w:numPr>
          <w:ilvl w:val="0"/>
          <w:numId w:val="23"/>
        </w:numPr>
        <w:jc w:val="both"/>
        <w:rPr>
          <w:b/>
          <w:caps/>
          <w:lang w:val="en-CA"/>
        </w:rPr>
      </w:pPr>
      <w:r>
        <w:rPr>
          <w:lang w:val="en-CA"/>
        </w:rPr>
        <w:t>No process given.</w:t>
      </w:r>
    </w:p>
    <w:p w:rsidR="00F737C1" w:rsidRDefault="00F737C1" w:rsidP="00700A12">
      <w:pPr>
        <w:jc w:val="both"/>
        <w:rPr>
          <w:b/>
          <w:lang w:val="en-CA"/>
        </w:rPr>
      </w:pPr>
    </w:p>
    <w:p w:rsidR="00F737C1" w:rsidRDefault="00F737C1" w:rsidP="00700A12">
      <w:pPr>
        <w:jc w:val="both"/>
        <w:rPr>
          <w:b/>
          <w:caps/>
          <w:lang w:val="en-CA"/>
        </w:rPr>
      </w:pPr>
      <w:r w:rsidRPr="0011626D">
        <w:rPr>
          <w:b/>
          <w:lang w:val="en-CA"/>
        </w:rPr>
        <w:t>Result</w:t>
      </w:r>
    </w:p>
    <w:p w:rsidR="00F737C1" w:rsidRPr="00700A12" w:rsidRDefault="00F737C1" w:rsidP="00700A12">
      <w:pPr>
        <w:numPr>
          <w:ilvl w:val="0"/>
          <w:numId w:val="23"/>
        </w:numPr>
        <w:jc w:val="both"/>
        <w:rPr>
          <w:b/>
          <w:caps/>
          <w:lang w:val="en-CA"/>
        </w:rPr>
      </w:pPr>
      <w:r>
        <w:rPr>
          <w:lang w:val="en-CA"/>
        </w:rPr>
        <w:t>No response given.</w:t>
      </w:r>
    </w:p>
    <w:p w:rsidR="00F737C1" w:rsidRDefault="00F737C1" w:rsidP="00700A12">
      <w:pPr>
        <w:jc w:val="both"/>
        <w:rPr>
          <w:lang w:val="en-CA"/>
        </w:rPr>
      </w:pPr>
    </w:p>
    <w:p w:rsidR="00F737C1" w:rsidRPr="00070E6B" w:rsidRDefault="00F737C1" w:rsidP="00700A12">
      <w:pPr>
        <w:numPr>
          <w:ilvl w:val="0"/>
          <w:numId w:val="19"/>
        </w:numPr>
        <w:jc w:val="both"/>
        <w:rPr>
          <w:b/>
        </w:rPr>
      </w:pPr>
      <w:r w:rsidRPr="00070E6B">
        <w:rPr>
          <w:b/>
        </w:rPr>
        <w:t xml:space="preserve">DIVERSITY </w:t>
      </w:r>
      <w:r>
        <w:rPr>
          <w:b/>
        </w:rPr>
        <w:t xml:space="preserve">– Article 9 of the </w:t>
      </w:r>
      <w:proofErr w:type="spellStart"/>
      <w:r>
        <w:rPr>
          <w:b/>
        </w:rPr>
        <w:t>Belém</w:t>
      </w:r>
      <w:proofErr w:type="spellEnd"/>
      <w:r>
        <w:rPr>
          <w:b/>
        </w:rPr>
        <w:t xml:space="preserve"> do </w:t>
      </w:r>
      <w:proofErr w:type="spellStart"/>
      <w:r>
        <w:rPr>
          <w:b/>
        </w:rPr>
        <w:t>Pará</w:t>
      </w:r>
      <w:proofErr w:type="spellEnd"/>
      <w:r>
        <w:rPr>
          <w:b/>
        </w:rPr>
        <w:t xml:space="preserve"> Convention</w:t>
      </w:r>
    </w:p>
    <w:p w:rsidR="00F737C1" w:rsidRPr="0011626D" w:rsidRDefault="00F737C1" w:rsidP="00700A12">
      <w:pPr>
        <w:jc w:val="both"/>
        <w:rPr>
          <w:lang w:val="en-CA"/>
        </w:rPr>
      </w:pPr>
    </w:p>
    <w:p w:rsidR="00F737C1" w:rsidRPr="0011626D" w:rsidRDefault="00F737C1" w:rsidP="00700A12">
      <w:pPr>
        <w:pStyle w:val="ListParagraph"/>
        <w:numPr>
          <w:ilvl w:val="0"/>
          <w:numId w:val="9"/>
        </w:numPr>
        <w:jc w:val="both"/>
        <w:rPr>
          <w:b/>
          <w:lang w:val="en-CA"/>
        </w:rPr>
      </w:pPr>
      <w:r w:rsidRPr="0011626D">
        <w:rPr>
          <w:b/>
          <w:lang w:val="en-CA"/>
        </w:rPr>
        <w:t>Formal Component (Reception of the right)</w:t>
      </w:r>
    </w:p>
    <w:p w:rsidR="00F737C1" w:rsidRDefault="00F737C1" w:rsidP="00700A12">
      <w:pPr>
        <w:jc w:val="both"/>
        <w:rPr>
          <w:b/>
          <w:caps/>
          <w:lang w:val="en-CA"/>
        </w:rPr>
      </w:pPr>
    </w:p>
    <w:p w:rsidR="00F737C1" w:rsidRPr="00700A12" w:rsidRDefault="00F737C1" w:rsidP="00700A12">
      <w:pPr>
        <w:numPr>
          <w:ilvl w:val="0"/>
          <w:numId w:val="23"/>
        </w:numPr>
        <w:jc w:val="both"/>
        <w:rPr>
          <w:b/>
          <w:caps/>
          <w:lang w:val="en-CA"/>
        </w:rPr>
      </w:pPr>
      <w:r w:rsidRPr="0011626D">
        <w:rPr>
          <w:lang w:val="en-CA"/>
        </w:rPr>
        <w:t>The respondent stated that there are “no minority in the population of over 100,000 and all laws, policies and protocols and services identified are available to all persons of all description”.  The term minority needs to be defined in the context of Article 9 of the Convention.</w:t>
      </w:r>
    </w:p>
    <w:p w:rsidR="00F737C1" w:rsidRDefault="00F737C1" w:rsidP="00700A12">
      <w:pPr>
        <w:jc w:val="both"/>
        <w:rPr>
          <w:b/>
          <w:caps/>
          <w:lang w:val="en-CA"/>
        </w:rPr>
      </w:pPr>
    </w:p>
    <w:p w:rsidR="00F737C1" w:rsidRDefault="00F737C1" w:rsidP="00700A12">
      <w:pPr>
        <w:numPr>
          <w:ilvl w:val="0"/>
          <w:numId w:val="23"/>
        </w:numPr>
        <w:jc w:val="both"/>
        <w:rPr>
          <w:b/>
          <w:caps/>
          <w:lang w:val="en-CA"/>
        </w:rPr>
      </w:pPr>
      <w:r w:rsidRPr="0011626D">
        <w:rPr>
          <w:lang w:val="en-CA"/>
        </w:rPr>
        <w:t>It is difficult to comprehend a totally homogeneous society. It is reasonable therefore to assert that there are Grenadian women who on account of specific vulnerabilities (elderly, disabled, displaced, poor etc. are exposed to violence and must be given some consideration under Article 9 of the Convention of Belem do Para.</w:t>
      </w:r>
    </w:p>
    <w:p w:rsidR="00F737C1" w:rsidRDefault="00F737C1" w:rsidP="00700A12">
      <w:pPr>
        <w:jc w:val="both"/>
        <w:rPr>
          <w:b/>
          <w:lang w:val="en-CA"/>
        </w:rPr>
      </w:pPr>
    </w:p>
    <w:p w:rsidR="00F737C1" w:rsidRDefault="00F737C1" w:rsidP="00700A12">
      <w:pPr>
        <w:jc w:val="both"/>
        <w:rPr>
          <w:lang w:val="en-CA"/>
        </w:rPr>
      </w:pPr>
      <w:r w:rsidRPr="0011626D">
        <w:rPr>
          <w:b/>
          <w:lang w:val="en-CA"/>
        </w:rPr>
        <w:t>Qualitative Signs of Progress</w:t>
      </w:r>
    </w:p>
    <w:p w:rsidR="00F737C1" w:rsidRDefault="00F737C1" w:rsidP="00700A12">
      <w:pPr>
        <w:numPr>
          <w:ilvl w:val="0"/>
          <w:numId w:val="23"/>
        </w:numPr>
        <w:jc w:val="both"/>
        <w:rPr>
          <w:b/>
          <w:caps/>
          <w:lang w:val="en-CA"/>
        </w:rPr>
      </w:pPr>
      <w:r w:rsidRPr="0011626D">
        <w:rPr>
          <w:lang w:val="en-CA"/>
        </w:rPr>
        <w:t>No response</w:t>
      </w:r>
      <w:r>
        <w:rPr>
          <w:b/>
          <w:caps/>
          <w:lang w:val="en-CA"/>
        </w:rPr>
        <w:t>.</w:t>
      </w:r>
    </w:p>
    <w:p w:rsidR="00F737C1" w:rsidRDefault="00F737C1" w:rsidP="00700A12">
      <w:pPr>
        <w:jc w:val="both"/>
        <w:rPr>
          <w:b/>
          <w:lang w:val="en-CA"/>
        </w:rPr>
      </w:pPr>
    </w:p>
    <w:p w:rsidR="00F737C1" w:rsidRDefault="00F737C1" w:rsidP="00700A12">
      <w:pPr>
        <w:jc w:val="both"/>
        <w:rPr>
          <w:lang w:val="en-CA"/>
        </w:rPr>
      </w:pPr>
      <w:r w:rsidRPr="0011626D">
        <w:rPr>
          <w:b/>
          <w:lang w:val="en-CA"/>
        </w:rPr>
        <w:t>Process</w:t>
      </w:r>
    </w:p>
    <w:p w:rsidR="00F737C1" w:rsidRPr="00700A12" w:rsidRDefault="00F737C1" w:rsidP="00700A12">
      <w:pPr>
        <w:numPr>
          <w:ilvl w:val="0"/>
          <w:numId w:val="23"/>
        </w:numPr>
        <w:jc w:val="both"/>
        <w:rPr>
          <w:b/>
          <w:caps/>
          <w:lang w:val="en-CA"/>
        </w:rPr>
      </w:pPr>
      <w:r>
        <w:rPr>
          <w:lang w:val="en-CA"/>
        </w:rPr>
        <w:t>No process given.</w:t>
      </w:r>
    </w:p>
    <w:p w:rsidR="00F737C1" w:rsidRDefault="00F737C1" w:rsidP="00700A12">
      <w:pPr>
        <w:jc w:val="both"/>
        <w:rPr>
          <w:b/>
          <w:lang w:val="en-CA"/>
        </w:rPr>
      </w:pPr>
    </w:p>
    <w:p w:rsidR="00F737C1" w:rsidRDefault="00F737C1" w:rsidP="00700A12">
      <w:pPr>
        <w:jc w:val="both"/>
        <w:rPr>
          <w:lang w:val="en-CA"/>
        </w:rPr>
      </w:pPr>
      <w:r w:rsidRPr="0011626D">
        <w:rPr>
          <w:b/>
          <w:lang w:val="en-CA"/>
        </w:rPr>
        <w:t>Result</w:t>
      </w:r>
    </w:p>
    <w:p w:rsidR="00F737C1" w:rsidRPr="00700A12" w:rsidRDefault="00F737C1" w:rsidP="00700A12">
      <w:pPr>
        <w:numPr>
          <w:ilvl w:val="0"/>
          <w:numId w:val="23"/>
        </w:numPr>
        <w:jc w:val="both"/>
        <w:rPr>
          <w:b/>
          <w:caps/>
          <w:lang w:val="en-CA"/>
        </w:rPr>
      </w:pPr>
      <w:r w:rsidRPr="0011626D">
        <w:rPr>
          <w:lang w:val="en-CA"/>
        </w:rPr>
        <w:t>No response given</w:t>
      </w:r>
      <w:r>
        <w:rPr>
          <w:lang w:val="en-CA"/>
        </w:rPr>
        <w:t>.</w:t>
      </w:r>
      <w:r w:rsidRPr="0011626D">
        <w:rPr>
          <w:lang w:val="en-CA"/>
        </w:rPr>
        <w:t xml:space="preserve"> </w:t>
      </w:r>
    </w:p>
    <w:p w:rsidR="00F737C1" w:rsidRDefault="00F737C1" w:rsidP="00700A12">
      <w:pPr>
        <w:jc w:val="both"/>
        <w:rPr>
          <w:lang w:val="en-CA"/>
        </w:rPr>
      </w:pPr>
    </w:p>
    <w:p w:rsidR="00F737C1" w:rsidRPr="0011626D" w:rsidRDefault="00F737C1" w:rsidP="00700A12">
      <w:pPr>
        <w:pStyle w:val="ListParagraph"/>
        <w:numPr>
          <w:ilvl w:val="0"/>
          <w:numId w:val="9"/>
        </w:numPr>
        <w:jc w:val="both"/>
        <w:rPr>
          <w:b/>
          <w:lang w:val="en-CA"/>
        </w:rPr>
      </w:pPr>
      <w:r w:rsidRPr="0011626D">
        <w:rPr>
          <w:b/>
          <w:lang w:val="en-CA"/>
        </w:rPr>
        <w:t>Basic Financial Context and Budget Commitments</w:t>
      </w:r>
    </w:p>
    <w:p w:rsidR="00F737C1" w:rsidRDefault="00F737C1" w:rsidP="00700A12">
      <w:pPr>
        <w:jc w:val="both"/>
        <w:rPr>
          <w:b/>
          <w:caps/>
          <w:lang w:val="en-CA"/>
        </w:rPr>
      </w:pPr>
    </w:p>
    <w:p w:rsidR="00F737C1" w:rsidRDefault="00F737C1" w:rsidP="00700A12">
      <w:pPr>
        <w:numPr>
          <w:ilvl w:val="0"/>
          <w:numId w:val="23"/>
        </w:numPr>
        <w:jc w:val="both"/>
        <w:rPr>
          <w:b/>
          <w:caps/>
          <w:lang w:val="en-CA"/>
        </w:rPr>
      </w:pPr>
      <w:r w:rsidRPr="0011626D">
        <w:rPr>
          <w:lang w:val="en-CA"/>
        </w:rPr>
        <w:t>No comments were provided</w:t>
      </w:r>
      <w:r>
        <w:rPr>
          <w:lang w:val="en-CA"/>
        </w:rPr>
        <w:t>.</w:t>
      </w:r>
    </w:p>
    <w:p w:rsidR="00F737C1" w:rsidRDefault="00F737C1" w:rsidP="00700A12">
      <w:pPr>
        <w:jc w:val="both"/>
        <w:rPr>
          <w:b/>
          <w:lang w:val="en-CA"/>
        </w:rPr>
      </w:pPr>
    </w:p>
    <w:p w:rsidR="00F737C1" w:rsidRDefault="00F737C1" w:rsidP="00700A12">
      <w:pPr>
        <w:jc w:val="both"/>
        <w:rPr>
          <w:b/>
          <w:caps/>
          <w:lang w:val="en-CA"/>
        </w:rPr>
      </w:pPr>
      <w:r w:rsidRPr="0011626D">
        <w:rPr>
          <w:b/>
          <w:lang w:val="en-CA"/>
        </w:rPr>
        <w:t>Qualitative Signs of Progress</w:t>
      </w:r>
    </w:p>
    <w:p w:rsidR="00F737C1" w:rsidRDefault="00F737C1" w:rsidP="00700A12">
      <w:pPr>
        <w:numPr>
          <w:ilvl w:val="0"/>
          <w:numId w:val="23"/>
        </w:numPr>
        <w:jc w:val="both"/>
        <w:rPr>
          <w:b/>
          <w:caps/>
          <w:lang w:val="en-CA"/>
        </w:rPr>
      </w:pPr>
      <w:r w:rsidRPr="0011626D">
        <w:rPr>
          <w:lang w:val="en-CA"/>
        </w:rPr>
        <w:t>Qualitative signs of progress omitted.</w:t>
      </w:r>
    </w:p>
    <w:p w:rsidR="00F737C1" w:rsidRDefault="00F737C1" w:rsidP="00700A12">
      <w:pPr>
        <w:jc w:val="both"/>
        <w:rPr>
          <w:b/>
          <w:lang w:val="en-CA"/>
        </w:rPr>
      </w:pPr>
    </w:p>
    <w:p w:rsidR="00F737C1" w:rsidRDefault="00F737C1" w:rsidP="00700A12">
      <w:pPr>
        <w:jc w:val="both"/>
        <w:rPr>
          <w:b/>
          <w:caps/>
          <w:lang w:val="en-CA"/>
        </w:rPr>
      </w:pPr>
      <w:r w:rsidRPr="0011626D">
        <w:rPr>
          <w:b/>
          <w:lang w:val="en-CA"/>
        </w:rPr>
        <w:t>Process</w:t>
      </w:r>
    </w:p>
    <w:p w:rsidR="00F737C1" w:rsidRPr="00700A12" w:rsidRDefault="00F737C1" w:rsidP="00700A12">
      <w:pPr>
        <w:numPr>
          <w:ilvl w:val="0"/>
          <w:numId w:val="23"/>
        </w:numPr>
        <w:jc w:val="both"/>
        <w:rPr>
          <w:b/>
          <w:caps/>
          <w:lang w:val="en-CA"/>
        </w:rPr>
      </w:pPr>
      <w:r>
        <w:rPr>
          <w:lang w:val="en-CA"/>
        </w:rPr>
        <w:t>No process given.</w:t>
      </w:r>
    </w:p>
    <w:p w:rsidR="00F737C1" w:rsidRDefault="00F737C1" w:rsidP="00700A12">
      <w:pPr>
        <w:jc w:val="both"/>
        <w:rPr>
          <w:b/>
          <w:lang w:val="en-CA"/>
        </w:rPr>
      </w:pPr>
    </w:p>
    <w:p w:rsidR="00F737C1" w:rsidRDefault="00F737C1" w:rsidP="00700A12">
      <w:pPr>
        <w:jc w:val="both"/>
        <w:rPr>
          <w:b/>
          <w:caps/>
          <w:lang w:val="en-CA"/>
        </w:rPr>
      </w:pPr>
      <w:r w:rsidRPr="0011626D">
        <w:rPr>
          <w:b/>
          <w:lang w:val="en-CA"/>
        </w:rPr>
        <w:t>Result</w:t>
      </w:r>
    </w:p>
    <w:p w:rsidR="00F737C1" w:rsidRPr="00700A12" w:rsidRDefault="00F737C1" w:rsidP="00700A12">
      <w:pPr>
        <w:numPr>
          <w:ilvl w:val="0"/>
          <w:numId w:val="23"/>
        </w:numPr>
        <w:jc w:val="both"/>
        <w:rPr>
          <w:b/>
          <w:caps/>
          <w:lang w:val="en-CA"/>
        </w:rPr>
      </w:pPr>
      <w:r>
        <w:rPr>
          <w:lang w:val="en-CA"/>
        </w:rPr>
        <w:t>No response given.</w:t>
      </w:r>
    </w:p>
    <w:p w:rsidR="00F737C1" w:rsidRDefault="00F737C1" w:rsidP="00700A12">
      <w:pPr>
        <w:jc w:val="both"/>
        <w:rPr>
          <w:lang w:val="en-CA"/>
        </w:rPr>
      </w:pPr>
    </w:p>
    <w:p w:rsidR="00F737C1" w:rsidRPr="0011626D" w:rsidRDefault="00F737C1" w:rsidP="00700A12">
      <w:pPr>
        <w:pStyle w:val="ListParagraph"/>
        <w:numPr>
          <w:ilvl w:val="0"/>
          <w:numId w:val="9"/>
        </w:numPr>
        <w:jc w:val="both"/>
        <w:rPr>
          <w:b/>
          <w:lang w:val="en-CA"/>
        </w:rPr>
      </w:pPr>
      <w:r w:rsidRPr="0011626D">
        <w:rPr>
          <w:b/>
          <w:lang w:val="en-CA"/>
        </w:rPr>
        <w:t>State Capabilities</w:t>
      </w:r>
    </w:p>
    <w:p w:rsidR="00F737C1" w:rsidRDefault="00F737C1" w:rsidP="00700A12">
      <w:pPr>
        <w:jc w:val="both"/>
        <w:rPr>
          <w:b/>
          <w:caps/>
          <w:lang w:val="en-CA"/>
        </w:rPr>
      </w:pPr>
    </w:p>
    <w:p w:rsidR="00F737C1" w:rsidRDefault="00F737C1" w:rsidP="00700A12">
      <w:pPr>
        <w:numPr>
          <w:ilvl w:val="0"/>
          <w:numId w:val="23"/>
        </w:numPr>
        <w:jc w:val="both"/>
        <w:rPr>
          <w:b/>
          <w:caps/>
          <w:lang w:val="en-CA"/>
        </w:rPr>
      </w:pPr>
      <w:r w:rsidRPr="0011626D">
        <w:rPr>
          <w:lang w:val="en-CA"/>
        </w:rPr>
        <w:t>No comments were provided</w:t>
      </w:r>
    </w:p>
    <w:p w:rsidR="00F737C1" w:rsidRDefault="00F737C1" w:rsidP="00700A12">
      <w:pPr>
        <w:jc w:val="both"/>
        <w:rPr>
          <w:b/>
          <w:lang w:val="en-CA"/>
        </w:rPr>
      </w:pPr>
    </w:p>
    <w:p w:rsidR="00F737C1" w:rsidRDefault="00F737C1" w:rsidP="00700A12">
      <w:pPr>
        <w:jc w:val="both"/>
        <w:rPr>
          <w:b/>
          <w:caps/>
          <w:lang w:val="en-CA"/>
        </w:rPr>
      </w:pPr>
      <w:r w:rsidRPr="0011626D">
        <w:rPr>
          <w:b/>
          <w:lang w:val="en-CA"/>
        </w:rPr>
        <w:t>Qualitative Signs of Progress</w:t>
      </w:r>
    </w:p>
    <w:p w:rsidR="00F737C1" w:rsidRDefault="00F737C1" w:rsidP="00700A12">
      <w:pPr>
        <w:numPr>
          <w:ilvl w:val="0"/>
          <w:numId w:val="23"/>
        </w:numPr>
        <w:jc w:val="both"/>
        <w:rPr>
          <w:b/>
          <w:caps/>
          <w:lang w:val="en-CA"/>
        </w:rPr>
      </w:pPr>
      <w:r w:rsidRPr="0011626D">
        <w:rPr>
          <w:lang w:val="en-CA"/>
        </w:rPr>
        <w:t>Qualitative signs of progres</w:t>
      </w:r>
      <w:r>
        <w:rPr>
          <w:lang w:val="en-CA"/>
        </w:rPr>
        <w:t>s omitted</w:t>
      </w:r>
      <w:r>
        <w:rPr>
          <w:b/>
          <w:caps/>
          <w:lang w:val="en-CA"/>
        </w:rPr>
        <w:t>.</w:t>
      </w:r>
    </w:p>
    <w:p w:rsidR="00F737C1" w:rsidRDefault="00F737C1" w:rsidP="00700A12">
      <w:pPr>
        <w:jc w:val="both"/>
        <w:rPr>
          <w:b/>
          <w:lang w:val="en-CA"/>
        </w:rPr>
      </w:pPr>
    </w:p>
    <w:p w:rsidR="00F737C1" w:rsidRDefault="00F737C1" w:rsidP="00700A12">
      <w:pPr>
        <w:jc w:val="both"/>
        <w:rPr>
          <w:b/>
          <w:caps/>
          <w:lang w:val="en-CA"/>
        </w:rPr>
      </w:pPr>
      <w:r w:rsidRPr="0011626D">
        <w:rPr>
          <w:b/>
          <w:lang w:val="en-CA"/>
        </w:rPr>
        <w:t>Process</w:t>
      </w:r>
    </w:p>
    <w:p w:rsidR="00F737C1" w:rsidRPr="00700A12" w:rsidRDefault="00F737C1" w:rsidP="00700A12">
      <w:pPr>
        <w:numPr>
          <w:ilvl w:val="0"/>
          <w:numId w:val="23"/>
        </w:numPr>
        <w:jc w:val="both"/>
        <w:rPr>
          <w:b/>
          <w:caps/>
          <w:lang w:val="en-CA"/>
        </w:rPr>
      </w:pPr>
      <w:r>
        <w:rPr>
          <w:lang w:val="en-CA"/>
        </w:rPr>
        <w:t>No process given.</w:t>
      </w:r>
    </w:p>
    <w:p w:rsidR="00F737C1" w:rsidRDefault="00F737C1" w:rsidP="00700A12">
      <w:pPr>
        <w:jc w:val="both"/>
        <w:rPr>
          <w:b/>
          <w:lang w:val="en-CA"/>
        </w:rPr>
      </w:pPr>
    </w:p>
    <w:p w:rsidR="00F737C1" w:rsidRDefault="00F737C1" w:rsidP="00700A12">
      <w:pPr>
        <w:jc w:val="both"/>
        <w:rPr>
          <w:b/>
          <w:caps/>
          <w:lang w:val="en-CA"/>
        </w:rPr>
      </w:pPr>
      <w:r w:rsidRPr="0011626D">
        <w:rPr>
          <w:b/>
          <w:lang w:val="en-CA"/>
        </w:rPr>
        <w:t>Result</w:t>
      </w:r>
    </w:p>
    <w:p w:rsidR="00F737C1" w:rsidRPr="00700A12" w:rsidRDefault="00F737C1" w:rsidP="00700A12">
      <w:pPr>
        <w:numPr>
          <w:ilvl w:val="0"/>
          <w:numId w:val="23"/>
        </w:numPr>
        <w:jc w:val="both"/>
        <w:rPr>
          <w:b/>
          <w:caps/>
          <w:lang w:val="en-CA"/>
        </w:rPr>
      </w:pPr>
      <w:r w:rsidRPr="0011626D">
        <w:rPr>
          <w:lang w:val="en-CA"/>
        </w:rPr>
        <w:t>No response given</w:t>
      </w:r>
      <w:r>
        <w:rPr>
          <w:lang w:val="en-CA"/>
        </w:rPr>
        <w:t>.</w:t>
      </w:r>
      <w:r w:rsidRPr="0011626D">
        <w:rPr>
          <w:lang w:val="en-CA"/>
        </w:rPr>
        <w:t xml:space="preserve"> </w:t>
      </w:r>
    </w:p>
    <w:p w:rsidR="00F737C1" w:rsidRDefault="00F737C1" w:rsidP="00700A12">
      <w:pPr>
        <w:jc w:val="both"/>
        <w:rPr>
          <w:lang w:val="en-CA"/>
        </w:rPr>
      </w:pPr>
    </w:p>
    <w:p w:rsidR="00F737C1" w:rsidRPr="0011626D" w:rsidRDefault="00F737C1" w:rsidP="00700A12">
      <w:pPr>
        <w:pStyle w:val="ListParagraph"/>
        <w:numPr>
          <w:ilvl w:val="0"/>
          <w:numId w:val="6"/>
        </w:numPr>
        <w:ind w:left="360"/>
        <w:jc w:val="both"/>
        <w:rPr>
          <w:b/>
          <w:lang w:val="en-CA"/>
        </w:rPr>
      </w:pPr>
      <w:r w:rsidRPr="0011626D">
        <w:rPr>
          <w:b/>
          <w:lang w:val="en-CA"/>
        </w:rPr>
        <w:t>CONCLUSION</w:t>
      </w:r>
    </w:p>
    <w:p w:rsidR="00F737C1" w:rsidRDefault="00F737C1" w:rsidP="00700A12">
      <w:pPr>
        <w:jc w:val="both"/>
        <w:rPr>
          <w:b/>
          <w:caps/>
          <w:lang w:val="en-CA"/>
        </w:rPr>
      </w:pPr>
    </w:p>
    <w:p w:rsidR="00F737C1" w:rsidRPr="00700A12" w:rsidRDefault="00F737C1" w:rsidP="00700A12">
      <w:pPr>
        <w:numPr>
          <w:ilvl w:val="0"/>
          <w:numId w:val="23"/>
        </w:numPr>
        <w:jc w:val="both"/>
        <w:rPr>
          <w:b/>
          <w:caps/>
          <w:lang w:val="en-CA"/>
        </w:rPr>
      </w:pPr>
      <w:r w:rsidRPr="0011626D">
        <w:rPr>
          <w:lang w:val="en-CA"/>
        </w:rPr>
        <w:t xml:space="preserve">Grenada must be commended for its response to the recommendations of the CEVI on the Convention on the Prevention, Punishment and Eradication of Violence </w:t>
      </w:r>
      <w:proofErr w:type="gramStart"/>
      <w:r w:rsidRPr="0011626D">
        <w:rPr>
          <w:lang w:val="en-CA"/>
        </w:rPr>
        <w:t>Against</w:t>
      </w:r>
      <w:proofErr w:type="gramEnd"/>
      <w:r w:rsidRPr="0011626D">
        <w:rPr>
          <w:lang w:val="en-CA"/>
        </w:rPr>
        <w:t xml:space="preserve"> Women (MESECVI) to the states party. The country has made the greatest strides in</w:t>
      </w:r>
      <w:r w:rsidRPr="0011626D">
        <w:rPr>
          <w:b/>
          <w:lang w:val="en-CA"/>
        </w:rPr>
        <w:t xml:space="preserve"> </w:t>
      </w:r>
      <w:r w:rsidRPr="0011626D">
        <w:t xml:space="preserve">the process of legal reform to bring national legislations in line with some of the principles and objectives of the Convention of </w:t>
      </w:r>
      <w:proofErr w:type="spellStart"/>
      <w:r w:rsidRPr="0011626D">
        <w:t>Belém</w:t>
      </w:r>
      <w:proofErr w:type="spellEnd"/>
      <w:r w:rsidRPr="0011626D">
        <w:t xml:space="preserve"> do </w:t>
      </w:r>
      <w:proofErr w:type="spellStart"/>
      <w:r w:rsidRPr="0011626D">
        <w:t>Pará</w:t>
      </w:r>
      <w:proofErr w:type="spellEnd"/>
      <w:r w:rsidRPr="0011626D">
        <w:t>; However omission</w:t>
      </w:r>
      <w:r>
        <w:t>s</w:t>
      </w:r>
      <w:r w:rsidRPr="0011626D">
        <w:t>, partial and or inadequate responses to many of the indicators rendered Grenada’s response ineffective in providing a true picture of Grenada’s reality and makes it impossible to determine the extent to which the state has met its commitments under the Convention.</w:t>
      </w:r>
    </w:p>
    <w:p w:rsidR="00F737C1" w:rsidRDefault="00F737C1" w:rsidP="00700A12">
      <w:pPr>
        <w:jc w:val="both"/>
        <w:rPr>
          <w:b/>
          <w:caps/>
          <w:lang w:val="en-CA"/>
        </w:rPr>
      </w:pPr>
    </w:p>
    <w:p w:rsidR="00F737C1" w:rsidRDefault="00F737C1" w:rsidP="00344A5F">
      <w:pPr>
        <w:numPr>
          <w:ilvl w:val="0"/>
          <w:numId w:val="23"/>
        </w:numPr>
        <w:jc w:val="both"/>
        <w:rPr>
          <w:b/>
          <w:caps/>
          <w:lang w:val="en-CA"/>
        </w:rPr>
      </w:pPr>
      <w:r w:rsidRPr="0011626D">
        <w:t xml:space="preserve">There were no responses to many of the issues under legislation, among which are: conciliation, mediation and other methods of out of court settlement, </w:t>
      </w:r>
      <w:proofErr w:type="spellStart"/>
      <w:r w:rsidRPr="0011626D">
        <w:t>femicide</w:t>
      </w:r>
      <w:proofErr w:type="spellEnd"/>
      <w:r w:rsidRPr="0011626D">
        <w:t xml:space="preserve">, provisions to prevent and punish sexual violence in armed conflict and natural disaster and by state </w:t>
      </w:r>
      <w:r w:rsidRPr="0011626D">
        <w:lastRenderedPageBreak/>
        <w:t>institutions. Legislation around sexual and reproductive rights was not addressed in any detail.</w:t>
      </w:r>
    </w:p>
    <w:p w:rsidR="00F737C1" w:rsidRDefault="00F737C1" w:rsidP="00700A12">
      <w:pPr>
        <w:jc w:val="both"/>
      </w:pPr>
    </w:p>
    <w:p w:rsidR="00F737C1" w:rsidRPr="00700A12" w:rsidRDefault="00F737C1" w:rsidP="00344A5F">
      <w:pPr>
        <w:numPr>
          <w:ilvl w:val="0"/>
          <w:numId w:val="23"/>
        </w:numPr>
        <w:jc w:val="both"/>
        <w:rPr>
          <w:b/>
          <w:caps/>
          <w:lang w:val="en-CA"/>
        </w:rPr>
      </w:pPr>
      <w:r w:rsidRPr="0011626D">
        <w:t xml:space="preserve">There were also omissions in response to many of the indicators limiting the analysis on specific issues such as Access to Justice and Diversity. The </w:t>
      </w:r>
      <w:r w:rsidRPr="0011626D">
        <w:rPr>
          <w:lang w:val="en-CA"/>
        </w:rPr>
        <w:t>basic financial and budget commitment</w:t>
      </w:r>
      <w:r>
        <w:rPr>
          <w:lang w:val="en-CA"/>
        </w:rPr>
        <w:t>s</w:t>
      </w:r>
      <w:r w:rsidRPr="0011626D">
        <w:rPr>
          <w:lang w:val="en-CA"/>
        </w:rPr>
        <w:t xml:space="preserve"> and the State capacity to act and enforce the provision of the </w:t>
      </w:r>
      <w:r>
        <w:rPr>
          <w:lang w:val="en-CA"/>
        </w:rPr>
        <w:t>C</w:t>
      </w:r>
      <w:r w:rsidRPr="0011626D">
        <w:rPr>
          <w:lang w:val="en-CA"/>
        </w:rPr>
        <w:t>onvention is not clear due in part to the omissions.</w:t>
      </w:r>
    </w:p>
    <w:p w:rsidR="00F737C1" w:rsidRPr="0011626D" w:rsidRDefault="00F737C1" w:rsidP="00344A5F">
      <w:pPr>
        <w:jc w:val="both"/>
        <w:rPr>
          <w:lang w:val="en-CA"/>
        </w:rPr>
      </w:pPr>
    </w:p>
    <w:p w:rsidR="00F737C1" w:rsidRPr="0011626D" w:rsidRDefault="00F737C1" w:rsidP="00344A5F">
      <w:pPr>
        <w:jc w:val="both"/>
        <w:rPr>
          <w:caps/>
          <w:lang w:val="en-CA"/>
        </w:rPr>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Default="007275A7" w:rsidP="00344A5F">
      <w:pPr>
        <w:jc w:val="both"/>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r w:rsidRPr="00517E52">
        <w:rPr>
          <w:b/>
        </w:rPr>
        <w:t xml:space="preserve">Replies from Grenada </w:t>
      </w:r>
    </w:p>
    <w:p w:rsidR="007275A7" w:rsidRPr="00517E52" w:rsidRDefault="007275A7" w:rsidP="007275A7">
      <w:pPr>
        <w:jc w:val="center"/>
      </w:pPr>
      <w:proofErr w:type="gramStart"/>
      <w:r w:rsidRPr="00517E52">
        <w:t>concerning</w:t>
      </w:r>
      <w:proofErr w:type="gramEnd"/>
      <w:r w:rsidRPr="00517E52">
        <w:t xml:space="preserve"> the </w:t>
      </w:r>
    </w:p>
    <w:p w:rsidR="007275A7" w:rsidRPr="00517E52" w:rsidRDefault="007275A7" w:rsidP="007275A7">
      <w:pPr>
        <w:jc w:val="center"/>
        <w:rPr>
          <w:b/>
        </w:rPr>
      </w:pPr>
      <w:proofErr w:type="gramStart"/>
      <w:r w:rsidRPr="00517E52">
        <w:rPr>
          <w:b/>
        </w:rPr>
        <w:t>Report on Implementation of Belem do</w:t>
      </w:r>
      <w:proofErr w:type="gramEnd"/>
      <w:r w:rsidRPr="00517E52">
        <w:rPr>
          <w:b/>
        </w:rPr>
        <w:t xml:space="preserve"> Para </w:t>
      </w: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pPr>
      <w:proofErr w:type="gramStart"/>
      <w:r w:rsidRPr="00517E52">
        <w:t>to</w:t>
      </w:r>
      <w:proofErr w:type="gramEnd"/>
      <w:r w:rsidRPr="00517E52">
        <w:t xml:space="preserve"> the </w:t>
      </w: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r w:rsidRPr="00517E52">
        <w:rPr>
          <w:b/>
        </w:rPr>
        <w:t>Follow-up Mechanism Inter American Convention on the Prevention, Punishment and Eradication of Violence against Women “</w:t>
      </w:r>
      <w:proofErr w:type="spellStart"/>
      <w:r w:rsidRPr="00517E52">
        <w:rPr>
          <w:b/>
        </w:rPr>
        <w:t>Belém</w:t>
      </w:r>
      <w:proofErr w:type="spellEnd"/>
      <w:r w:rsidRPr="00517E52">
        <w:rPr>
          <w:b/>
        </w:rPr>
        <w:t xml:space="preserve"> do </w:t>
      </w:r>
      <w:proofErr w:type="spellStart"/>
      <w:r w:rsidRPr="00517E52">
        <w:rPr>
          <w:b/>
        </w:rPr>
        <w:t>Pará</w:t>
      </w:r>
      <w:proofErr w:type="spellEnd"/>
      <w:r w:rsidRPr="00517E52">
        <w:rPr>
          <w:b/>
        </w:rPr>
        <w:t xml:space="preserve"> Convention”</w:t>
      </w: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p>
    <w:p w:rsidR="007275A7" w:rsidRPr="00517E52" w:rsidRDefault="007275A7" w:rsidP="007275A7">
      <w:pPr>
        <w:jc w:val="center"/>
        <w:rPr>
          <w:b/>
        </w:rPr>
      </w:pPr>
      <w:r w:rsidRPr="00517E52">
        <w:rPr>
          <w:b/>
        </w:rPr>
        <w:t>October 20, 2014</w:t>
      </w:r>
    </w:p>
    <w:p w:rsidR="007275A7" w:rsidRPr="00517E52" w:rsidRDefault="007275A7" w:rsidP="007275A7">
      <w:pPr>
        <w:jc w:val="center"/>
        <w:rPr>
          <w:b/>
        </w:rPr>
      </w:pPr>
    </w:p>
    <w:p w:rsidR="007275A7" w:rsidRPr="00517E52" w:rsidRDefault="007275A7" w:rsidP="007275A7">
      <w:pPr>
        <w:rPr>
          <w:b/>
        </w:rPr>
      </w:pPr>
      <w:r w:rsidRPr="00517E52">
        <w:rPr>
          <w:b/>
        </w:rPr>
        <w:br w:type="page"/>
      </w:r>
    </w:p>
    <w:p w:rsidR="007275A7" w:rsidRPr="00517E52" w:rsidRDefault="007275A7" w:rsidP="007275A7">
      <w:pPr>
        <w:jc w:val="center"/>
        <w:rPr>
          <w:b/>
        </w:rPr>
      </w:pPr>
      <w:r w:rsidRPr="00517E52">
        <w:rPr>
          <w:b/>
        </w:rPr>
        <w:t xml:space="preserve">Replies concerning the Grenada Report on Implementation of Belem do Para </w:t>
      </w:r>
    </w:p>
    <w:p w:rsidR="007275A7" w:rsidRPr="00517E52" w:rsidRDefault="007275A7" w:rsidP="007275A7">
      <w:pPr>
        <w:jc w:val="center"/>
        <w:rPr>
          <w:b/>
        </w:rPr>
      </w:pPr>
      <w:proofErr w:type="gramStart"/>
      <w:r w:rsidRPr="00517E52">
        <w:rPr>
          <w:b/>
        </w:rPr>
        <w:t>to</w:t>
      </w:r>
      <w:proofErr w:type="gramEnd"/>
      <w:r w:rsidRPr="00517E52">
        <w:rPr>
          <w:b/>
        </w:rPr>
        <w:t xml:space="preserve"> the Follow-up Mechanism Inter American Convention on the Prevention, Punishment and Eradication of Violence against Women “</w:t>
      </w:r>
      <w:proofErr w:type="spellStart"/>
      <w:r w:rsidRPr="00517E52">
        <w:rPr>
          <w:b/>
        </w:rPr>
        <w:t>Belém</w:t>
      </w:r>
      <w:proofErr w:type="spellEnd"/>
      <w:r w:rsidRPr="00517E52">
        <w:rPr>
          <w:b/>
        </w:rPr>
        <w:t xml:space="preserve"> do </w:t>
      </w:r>
      <w:proofErr w:type="spellStart"/>
      <w:r w:rsidRPr="00517E52">
        <w:rPr>
          <w:b/>
        </w:rPr>
        <w:t>Pará</w:t>
      </w:r>
      <w:proofErr w:type="spellEnd"/>
      <w:r w:rsidRPr="00517E52">
        <w:rPr>
          <w:b/>
        </w:rPr>
        <w:t xml:space="preserve"> Convention”</w:t>
      </w:r>
    </w:p>
    <w:p w:rsidR="007275A7" w:rsidRPr="00517E52" w:rsidRDefault="007275A7" w:rsidP="007275A7"/>
    <w:p w:rsidR="007275A7" w:rsidRPr="00517E52" w:rsidRDefault="007275A7" w:rsidP="007275A7"/>
    <w:p w:rsidR="007275A7" w:rsidRPr="00517E52" w:rsidRDefault="007275A7" w:rsidP="007275A7">
      <w:r w:rsidRPr="00517E52">
        <w:t xml:space="preserve">The Competent National Authority for Grenada submits the following corrections and detailed information in response to the “Grenada Report on the Implementation of the Recommendations from the CEVI Second Round”, dated September 18 - 19, 2014.  </w:t>
      </w:r>
    </w:p>
    <w:p w:rsidR="007275A7" w:rsidRPr="00517E52" w:rsidRDefault="007275A7" w:rsidP="007275A7">
      <w:r w:rsidRPr="00517E52">
        <w:t xml:space="preserve"> </w:t>
      </w:r>
    </w:p>
    <w:tbl>
      <w:tblPr>
        <w:tblW w:w="1009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710"/>
        <w:gridCol w:w="3182"/>
        <w:gridCol w:w="6206"/>
      </w:tblGrid>
      <w:tr w:rsidR="007275A7" w:rsidRPr="00517E52" w:rsidTr="007275A7">
        <w:tc>
          <w:tcPr>
            <w:tcW w:w="648" w:type="dxa"/>
          </w:tcPr>
          <w:p w:rsidR="007275A7" w:rsidRPr="007275A7" w:rsidRDefault="007275A7" w:rsidP="002E21D5">
            <w:pPr>
              <w:rPr>
                <w:b/>
              </w:rPr>
            </w:pPr>
            <w:r w:rsidRPr="007275A7">
              <w:rPr>
                <w:b/>
              </w:rPr>
              <w:t>Para</w:t>
            </w:r>
          </w:p>
        </w:tc>
        <w:tc>
          <w:tcPr>
            <w:tcW w:w="3240" w:type="dxa"/>
          </w:tcPr>
          <w:p w:rsidR="007275A7" w:rsidRPr="007275A7" w:rsidRDefault="007275A7" w:rsidP="002E21D5">
            <w:pPr>
              <w:rPr>
                <w:b/>
              </w:rPr>
            </w:pPr>
            <w:r w:rsidRPr="007275A7">
              <w:rPr>
                <w:b/>
              </w:rPr>
              <w:t>Quoted Point</w:t>
            </w:r>
          </w:p>
        </w:tc>
        <w:tc>
          <w:tcPr>
            <w:tcW w:w="6210" w:type="dxa"/>
          </w:tcPr>
          <w:p w:rsidR="007275A7" w:rsidRPr="007275A7" w:rsidRDefault="007275A7" w:rsidP="002E21D5">
            <w:pPr>
              <w:rPr>
                <w:b/>
              </w:rPr>
            </w:pPr>
            <w:r w:rsidRPr="007275A7">
              <w:rPr>
                <w:b/>
              </w:rPr>
              <w:t xml:space="preserve">Adjustment </w:t>
            </w:r>
          </w:p>
        </w:tc>
      </w:tr>
      <w:tr w:rsidR="007275A7" w:rsidRPr="00517E52" w:rsidTr="007275A7">
        <w:tc>
          <w:tcPr>
            <w:tcW w:w="10098" w:type="dxa"/>
            <w:gridSpan w:val="3"/>
          </w:tcPr>
          <w:p w:rsidR="007275A7" w:rsidRPr="007275A7" w:rsidRDefault="007275A7" w:rsidP="002E21D5">
            <w:pPr>
              <w:rPr>
                <w:b/>
                <w:bCs/>
              </w:rPr>
            </w:pPr>
            <w:r w:rsidRPr="007275A7">
              <w:rPr>
                <w:b/>
                <w:bCs/>
              </w:rPr>
              <w:t>Introduction</w:t>
            </w:r>
          </w:p>
        </w:tc>
      </w:tr>
      <w:tr w:rsidR="007275A7" w:rsidRPr="00517E52" w:rsidTr="007275A7">
        <w:tc>
          <w:tcPr>
            <w:tcW w:w="648" w:type="dxa"/>
          </w:tcPr>
          <w:p w:rsidR="007275A7" w:rsidRPr="00517E52" w:rsidRDefault="007275A7" w:rsidP="002E21D5">
            <w:r w:rsidRPr="00517E52">
              <w:t>2</w:t>
            </w:r>
          </w:p>
        </w:tc>
        <w:tc>
          <w:tcPr>
            <w:tcW w:w="3240" w:type="dxa"/>
          </w:tcPr>
          <w:p w:rsidR="007275A7" w:rsidRPr="007275A7" w:rsidRDefault="007275A7" w:rsidP="002E21D5">
            <w:pPr>
              <w:rPr>
                <w:rFonts w:eastAsia="Calibri"/>
                <w:lang w:eastAsia="en-GB"/>
              </w:rPr>
            </w:pPr>
            <w:r w:rsidRPr="007275A7">
              <w:rPr>
                <w:lang w:val="en-CA"/>
              </w:rPr>
              <w:t xml:space="preserve">The record shows that </w:t>
            </w:r>
            <w:r w:rsidRPr="00517E52">
              <w:t xml:space="preserve">Grenada </w:t>
            </w:r>
            <w:r w:rsidRPr="007275A7">
              <w:rPr>
                <w:lang w:val="en-CA"/>
              </w:rPr>
              <w:t xml:space="preserve">did not participate in the two evaluation rounds and </w:t>
            </w:r>
            <w:r w:rsidRPr="00517E52">
              <w:t xml:space="preserve">has not responded to the questionnaires </w:t>
            </w:r>
          </w:p>
        </w:tc>
        <w:tc>
          <w:tcPr>
            <w:tcW w:w="6210" w:type="dxa"/>
          </w:tcPr>
          <w:p w:rsidR="007275A7" w:rsidRPr="00517E52" w:rsidRDefault="007275A7" w:rsidP="002E21D5">
            <w:r w:rsidRPr="00517E52">
              <w:t>Grenada did not participate in the first of two evaluation rounds, and participated late in the first part of the 2</w:t>
            </w:r>
            <w:r w:rsidRPr="007275A7">
              <w:rPr>
                <w:vertAlign w:val="superscript"/>
              </w:rPr>
              <w:t>nd</w:t>
            </w:r>
            <w:r w:rsidRPr="00517E52">
              <w:t xml:space="preserve"> evaluation round.  However the responses were submitted too late to be assessed and considered by CEVI.  </w:t>
            </w:r>
          </w:p>
        </w:tc>
      </w:tr>
      <w:tr w:rsidR="007275A7" w:rsidRPr="00517E52" w:rsidTr="007275A7">
        <w:tc>
          <w:tcPr>
            <w:tcW w:w="10098" w:type="dxa"/>
            <w:gridSpan w:val="3"/>
          </w:tcPr>
          <w:p w:rsidR="007275A7" w:rsidRPr="007275A7" w:rsidRDefault="007275A7" w:rsidP="002E21D5">
            <w:pPr>
              <w:rPr>
                <w:b/>
              </w:rPr>
            </w:pPr>
            <w:r w:rsidRPr="007275A7">
              <w:rPr>
                <w:b/>
              </w:rPr>
              <w:t>GRENADA’S DESCRIPTION</w:t>
            </w:r>
          </w:p>
        </w:tc>
      </w:tr>
      <w:tr w:rsidR="007275A7" w:rsidRPr="00517E52" w:rsidTr="007275A7">
        <w:tc>
          <w:tcPr>
            <w:tcW w:w="648" w:type="dxa"/>
          </w:tcPr>
          <w:p w:rsidR="007275A7" w:rsidRPr="00517E52" w:rsidRDefault="007275A7" w:rsidP="002E21D5">
            <w:r w:rsidRPr="00517E52">
              <w:t>4</w:t>
            </w:r>
          </w:p>
        </w:tc>
        <w:tc>
          <w:tcPr>
            <w:tcW w:w="3240" w:type="dxa"/>
          </w:tcPr>
          <w:p w:rsidR="007275A7" w:rsidRPr="007275A7" w:rsidRDefault="007275A7" w:rsidP="002E21D5">
            <w:pPr>
              <w:rPr>
                <w:rFonts w:eastAsia="Calibri"/>
                <w:lang w:eastAsia="en-GB"/>
              </w:rPr>
            </w:pPr>
            <w:r w:rsidRPr="007275A7">
              <w:rPr>
                <w:lang w:val="en-CA"/>
              </w:rPr>
              <w:t xml:space="preserve">It is located southwest of St. Vincent and the Grenadines and </w:t>
            </w:r>
            <w:r w:rsidRPr="007275A7">
              <w:rPr>
                <w:i/>
                <w:lang w:val="en-CA"/>
              </w:rPr>
              <w:t>northwest</w:t>
            </w:r>
            <w:r w:rsidRPr="007275A7">
              <w:rPr>
                <w:lang w:val="en-CA"/>
              </w:rPr>
              <w:t xml:space="preserve"> of Trinidad and Tobago. </w:t>
            </w:r>
          </w:p>
        </w:tc>
        <w:tc>
          <w:tcPr>
            <w:tcW w:w="6210" w:type="dxa"/>
          </w:tcPr>
          <w:p w:rsidR="007275A7" w:rsidRPr="00517E52" w:rsidRDefault="007275A7" w:rsidP="002E21D5">
            <w:r w:rsidRPr="00517E52">
              <w:t xml:space="preserve">The three main islands are Grenada </w:t>
            </w:r>
            <w:proofErr w:type="spellStart"/>
            <w:r w:rsidRPr="00517E52">
              <w:t>Carriacou</w:t>
            </w:r>
            <w:proofErr w:type="spellEnd"/>
            <w:r w:rsidRPr="00517E52">
              <w:t xml:space="preserve"> and Petite Martinique.  </w:t>
            </w:r>
          </w:p>
          <w:p w:rsidR="007275A7" w:rsidRPr="00517E52" w:rsidRDefault="007275A7" w:rsidP="002E21D5"/>
          <w:p w:rsidR="007275A7" w:rsidRPr="00517E52" w:rsidRDefault="007275A7" w:rsidP="002E21D5">
            <w:r w:rsidRPr="00517E52">
              <w:t xml:space="preserve">Grenada lies north of Trinidad and Tobago. </w:t>
            </w:r>
          </w:p>
        </w:tc>
      </w:tr>
      <w:tr w:rsidR="007275A7" w:rsidRPr="00517E52" w:rsidTr="007275A7">
        <w:tc>
          <w:tcPr>
            <w:tcW w:w="648" w:type="dxa"/>
          </w:tcPr>
          <w:p w:rsidR="007275A7" w:rsidRPr="00517E52" w:rsidRDefault="007275A7" w:rsidP="002E21D5">
            <w:r w:rsidRPr="00517E52">
              <w:t>6</w:t>
            </w:r>
          </w:p>
        </w:tc>
        <w:tc>
          <w:tcPr>
            <w:tcW w:w="3240" w:type="dxa"/>
          </w:tcPr>
          <w:p w:rsidR="007275A7" w:rsidRPr="007275A7" w:rsidRDefault="007275A7" w:rsidP="002E21D5">
            <w:pPr>
              <w:rPr>
                <w:rFonts w:eastAsia="Calibri"/>
                <w:lang w:val="en-CA" w:eastAsia="en-GB"/>
              </w:rPr>
            </w:pPr>
            <w:r w:rsidRPr="007275A7">
              <w:rPr>
                <w:lang w:val="en-CA"/>
              </w:rPr>
              <w:t xml:space="preserve">The official language is English but Grenadians speak an English based – Creole and a Grenadian Creole- French/Patois. </w:t>
            </w:r>
          </w:p>
        </w:tc>
        <w:tc>
          <w:tcPr>
            <w:tcW w:w="6210" w:type="dxa"/>
          </w:tcPr>
          <w:p w:rsidR="007275A7" w:rsidRPr="00517E52" w:rsidRDefault="007275A7" w:rsidP="002E21D5">
            <w:r w:rsidRPr="007275A7">
              <w:rPr>
                <w:lang w:val="en-CA"/>
              </w:rPr>
              <w:t xml:space="preserve">The official language is English but Grenadians also speak an English based Grenadian Creole </w:t>
            </w:r>
            <w:r w:rsidRPr="00517E52">
              <w:t>(not French Creole anymore)</w:t>
            </w:r>
          </w:p>
        </w:tc>
      </w:tr>
      <w:tr w:rsidR="007275A7" w:rsidRPr="00517E52" w:rsidTr="007275A7">
        <w:tc>
          <w:tcPr>
            <w:tcW w:w="10098" w:type="dxa"/>
            <w:gridSpan w:val="3"/>
          </w:tcPr>
          <w:p w:rsidR="007275A7" w:rsidRPr="007275A7" w:rsidRDefault="007275A7" w:rsidP="002E21D5">
            <w:pPr>
              <w:rPr>
                <w:b/>
              </w:rPr>
            </w:pPr>
            <w:r w:rsidRPr="007275A7">
              <w:rPr>
                <w:b/>
              </w:rPr>
              <w:t>ANALYSIS</w:t>
            </w:r>
          </w:p>
          <w:p w:rsidR="007275A7" w:rsidRPr="007275A7" w:rsidRDefault="007275A7" w:rsidP="002E21D5">
            <w:pPr>
              <w:rPr>
                <w:b/>
              </w:rPr>
            </w:pPr>
            <w:r w:rsidRPr="007275A7">
              <w:rPr>
                <w:b/>
              </w:rPr>
              <w:t>Overview of the Main Advances Achieved by Grenada Between April 2012 To The Present</w:t>
            </w:r>
          </w:p>
        </w:tc>
      </w:tr>
      <w:tr w:rsidR="007275A7" w:rsidRPr="00517E52" w:rsidTr="007275A7">
        <w:tc>
          <w:tcPr>
            <w:tcW w:w="648" w:type="dxa"/>
          </w:tcPr>
          <w:p w:rsidR="007275A7" w:rsidRPr="00517E52" w:rsidRDefault="007275A7" w:rsidP="002E21D5">
            <w:r w:rsidRPr="00517E52">
              <w:t>8</w:t>
            </w:r>
          </w:p>
        </w:tc>
        <w:tc>
          <w:tcPr>
            <w:tcW w:w="3240" w:type="dxa"/>
          </w:tcPr>
          <w:p w:rsidR="007275A7" w:rsidRPr="007275A7" w:rsidRDefault="007275A7" w:rsidP="002E21D5">
            <w:pPr>
              <w:rPr>
                <w:rFonts w:eastAsia="Calibri"/>
                <w:lang w:eastAsia="en-GB"/>
              </w:rPr>
            </w:pPr>
            <w:r w:rsidRPr="00517E52">
              <w:t xml:space="preserve">No previous </w:t>
            </w:r>
            <w:r w:rsidRPr="007275A7">
              <w:rPr>
                <w:i/>
              </w:rPr>
              <w:t>reports</w:t>
            </w:r>
            <w:r w:rsidRPr="00517E52">
              <w:t xml:space="preserve"> exist </w:t>
            </w:r>
          </w:p>
          <w:p w:rsidR="007275A7" w:rsidRPr="00517E52" w:rsidRDefault="007275A7" w:rsidP="002E21D5"/>
        </w:tc>
        <w:tc>
          <w:tcPr>
            <w:tcW w:w="6210" w:type="dxa"/>
          </w:tcPr>
          <w:p w:rsidR="007275A7" w:rsidRPr="00517E52" w:rsidRDefault="007275A7" w:rsidP="002E21D5">
            <w:r w:rsidRPr="00517E52">
              <w:t>Use “analyses” (the report was submitted to MESECVI late, but it exists)</w:t>
            </w:r>
          </w:p>
        </w:tc>
      </w:tr>
      <w:tr w:rsidR="007275A7" w:rsidRPr="00517E52" w:rsidTr="007275A7">
        <w:trPr>
          <w:trHeight w:val="1385"/>
        </w:trPr>
        <w:tc>
          <w:tcPr>
            <w:tcW w:w="648" w:type="dxa"/>
          </w:tcPr>
          <w:p w:rsidR="007275A7" w:rsidRPr="00517E52" w:rsidRDefault="007275A7" w:rsidP="002E21D5">
            <w:r w:rsidRPr="00517E52">
              <w:t>9</w:t>
            </w:r>
          </w:p>
        </w:tc>
        <w:tc>
          <w:tcPr>
            <w:tcW w:w="3240" w:type="dxa"/>
          </w:tcPr>
          <w:p w:rsidR="007275A7" w:rsidRPr="007275A7" w:rsidRDefault="007275A7" w:rsidP="007275A7">
            <w:pPr>
              <w:tabs>
                <w:tab w:val="left" w:pos="-1440"/>
              </w:tabs>
              <w:spacing w:after="120"/>
              <w:rPr>
                <w:color w:val="000000"/>
                <w:lang w:val="en-CA"/>
              </w:rPr>
            </w:pPr>
            <w:r w:rsidRPr="007275A7">
              <w:rPr>
                <w:color w:val="000000"/>
                <w:lang w:val="en-CA"/>
              </w:rPr>
              <w:t xml:space="preserve">The National Domestic Violence and Sexual Abuse Protocol (2011) that provide guidelines to responders in their interventions to address incidents and manage cases of Domestic and Sexual Violence. </w:t>
            </w:r>
          </w:p>
        </w:tc>
        <w:tc>
          <w:tcPr>
            <w:tcW w:w="6210" w:type="dxa"/>
          </w:tcPr>
          <w:p w:rsidR="007275A7" w:rsidRPr="00517E52" w:rsidRDefault="007275A7" w:rsidP="002E21D5">
            <w:r w:rsidRPr="00517E52">
              <w:t xml:space="preserve">This line can be moved to paragraph 10 as the Protocol is not law.  </w:t>
            </w:r>
          </w:p>
        </w:tc>
      </w:tr>
      <w:tr w:rsidR="007275A7" w:rsidRPr="00517E52" w:rsidTr="007275A7">
        <w:tc>
          <w:tcPr>
            <w:tcW w:w="648" w:type="dxa"/>
          </w:tcPr>
          <w:p w:rsidR="007275A7" w:rsidRPr="00517E52" w:rsidRDefault="007275A7" w:rsidP="002E21D5">
            <w:r w:rsidRPr="00517E52">
              <w:t>10</w:t>
            </w:r>
          </w:p>
        </w:tc>
        <w:tc>
          <w:tcPr>
            <w:tcW w:w="3240" w:type="dxa"/>
          </w:tcPr>
          <w:p w:rsidR="007275A7" w:rsidRPr="00517E52" w:rsidRDefault="007275A7" w:rsidP="007275A7">
            <w:pPr>
              <w:tabs>
                <w:tab w:val="left" w:pos="-1440"/>
              </w:tabs>
              <w:spacing w:after="120"/>
            </w:pPr>
            <w:r w:rsidRPr="007275A7">
              <w:rPr>
                <w:color w:val="000000"/>
                <w:lang w:val="en-CA"/>
              </w:rPr>
              <w:t>This Pl</w:t>
            </w:r>
            <w:r w:rsidRPr="00517E52">
              <w:t>an is awaiting Cabinet’s approval.</w:t>
            </w:r>
          </w:p>
        </w:tc>
        <w:tc>
          <w:tcPr>
            <w:tcW w:w="6210" w:type="dxa"/>
          </w:tcPr>
          <w:p w:rsidR="007275A7" w:rsidRPr="00517E52" w:rsidRDefault="007275A7" w:rsidP="002E21D5">
            <w:r w:rsidRPr="00517E52">
              <w:t>The key elements of the plan were approved by Cabinet, but the full plan has to be submitted to Cabinet for consideration.</w:t>
            </w:r>
          </w:p>
        </w:tc>
      </w:tr>
      <w:tr w:rsidR="007275A7" w:rsidRPr="00517E52" w:rsidTr="007275A7">
        <w:tc>
          <w:tcPr>
            <w:tcW w:w="10098" w:type="dxa"/>
            <w:gridSpan w:val="3"/>
          </w:tcPr>
          <w:p w:rsidR="007275A7" w:rsidRPr="007275A7" w:rsidRDefault="007275A7" w:rsidP="002E21D5">
            <w:pPr>
              <w:rPr>
                <w:b/>
                <w:bCs/>
              </w:rPr>
            </w:pPr>
            <w:r w:rsidRPr="007275A7">
              <w:rPr>
                <w:b/>
                <w:bCs/>
              </w:rPr>
              <w:t>PROGRESS ON THE RECOMMENDATIONS</w:t>
            </w:r>
          </w:p>
        </w:tc>
      </w:tr>
      <w:tr w:rsidR="007275A7" w:rsidRPr="00517E52" w:rsidTr="007275A7">
        <w:tc>
          <w:tcPr>
            <w:tcW w:w="648" w:type="dxa"/>
          </w:tcPr>
          <w:p w:rsidR="007275A7" w:rsidRPr="00517E52" w:rsidRDefault="007275A7" w:rsidP="002E21D5">
            <w:r w:rsidRPr="00517E52">
              <w:t>15</w:t>
            </w:r>
          </w:p>
        </w:tc>
        <w:tc>
          <w:tcPr>
            <w:tcW w:w="3240" w:type="dxa"/>
          </w:tcPr>
          <w:p w:rsidR="007275A7" w:rsidRPr="007275A7" w:rsidRDefault="007275A7" w:rsidP="002E21D5">
            <w:pPr>
              <w:rPr>
                <w:rFonts w:eastAsia="Calibri"/>
                <w:lang w:eastAsia="en-GB"/>
              </w:rPr>
            </w:pPr>
            <w:r w:rsidRPr="007275A7">
              <w:rPr>
                <w:bCs/>
              </w:rPr>
              <w:t xml:space="preserve">Interruption of pregnancy on </w:t>
            </w:r>
            <w:r w:rsidRPr="007275A7">
              <w:rPr>
                <w:bCs/>
              </w:rPr>
              <w:lastRenderedPageBreak/>
              <w:t xml:space="preserve">therapeutic grounds and the interruption of pregnancy caused by rape. </w:t>
            </w:r>
          </w:p>
        </w:tc>
        <w:tc>
          <w:tcPr>
            <w:tcW w:w="6210" w:type="dxa"/>
          </w:tcPr>
          <w:p w:rsidR="007275A7" w:rsidRPr="007275A7" w:rsidRDefault="007275A7" w:rsidP="002E21D5">
            <w:pPr>
              <w:pStyle w:val="CommentText"/>
              <w:rPr>
                <w:sz w:val="24"/>
                <w:szCs w:val="24"/>
              </w:rPr>
            </w:pPr>
            <w:r w:rsidRPr="007275A7">
              <w:rPr>
                <w:sz w:val="24"/>
                <w:szCs w:val="24"/>
              </w:rPr>
              <w:lastRenderedPageBreak/>
              <w:t>Please clarify these phrases as part of this sentence</w:t>
            </w:r>
          </w:p>
          <w:p w:rsidR="007275A7" w:rsidRPr="00517E52" w:rsidRDefault="007275A7" w:rsidP="002E21D5"/>
        </w:tc>
      </w:tr>
      <w:tr w:rsidR="007275A7" w:rsidRPr="00517E52" w:rsidTr="007275A7">
        <w:tc>
          <w:tcPr>
            <w:tcW w:w="648" w:type="dxa"/>
          </w:tcPr>
          <w:p w:rsidR="007275A7" w:rsidRPr="00517E52" w:rsidRDefault="007275A7" w:rsidP="002E21D5">
            <w:r w:rsidRPr="00517E52">
              <w:lastRenderedPageBreak/>
              <w:t>15</w:t>
            </w:r>
          </w:p>
        </w:tc>
        <w:tc>
          <w:tcPr>
            <w:tcW w:w="3240" w:type="dxa"/>
          </w:tcPr>
          <w:p w:rsidR="007275A7" w:rsidRPr="007275A7" w:rsidRDefault="007275A7" w:rsidP="002E21D5">
            <w:pPr>
              <w:rPr>
                <w:rFonts w:eastAsia="Calibri"/>
                <w:lang w:eastAsia="en-GB"/>
              </w:rPr>
            </w:pPr>
            <w:r w:rsidRPr="007275A7">
              <w:rPr>
                <w:bCs/>
              </w:rPr>
              <w:t xml:space="preserve">The punishment for these was not stated. </w:t>
            </w:r>
          </w:p>
        </w:tc>
        <w:tc>
          <w:tcPr>
            <w:tcW w:w="6210" w:type="dxa"/>
          </w:tcPr>
          <w:p w:rsidR="007275A7" w:rsidRPr="00517E52" w:rsidRDefault="007275A7" w:rsidP="002E21D5">
            <w:r w:rsidRPr="00517E52">
              <w:t xml:space="preserve">In the Amendment to the Criminal Code, the maximum penalty for rape was increased from 15 years to 30 years imprisonment.  Other sexual offences that now have a maximum of 30 years imprisonment are sexual intercourse with a person under thirteen years; incest by male (if the other person is under 13 years); and sexual intercourse with a step-child, foster child, ward or dependant (if the other person is under 13 years).  The latter two are offences even if the other person is above 13 years, but the penalties are different.  Marital rape carries a maximum sentence of 14 years imprisonment.  </w:t>
            </w:r>
          </w:p>
          <w:p w:rsidR="007275A7" w:rsidRPr="00517E52" w:rsidRDefault="007275A7" w:rsidP="002E21D5"/>
          <w:p w:rsidR="007275A7" w:rsidRPr="00517E52" w:rsidRDefault="007275A7" w:rsidP="002E21D5">
            <w:r w:rsidRPr="00517E52">
              <w:t xml:space="preserve">Penalties for other sexual offences were also increased, such as   sexual intercourse with a person under 16 years, then limited to “Defilement of </w:t>
            </w:r>
            <w:r w:rsidRPr="007275A7">
              <w:rPr>
                <w:i/>
              </w:rPr>
              <w:t>female</w:t>
            </w:r>
            <w:r w:rsidRPr="00517E52">
              <w:t xml:space="preserve"> between thirteen and sixteen years of age”, which was increased from five (5) to fifteen (15) years.  Sexual assault (defined as penetration of the genital organs, including anus, with any part of the body or with an object manipulated by another without consent, except for hygienic or bona fide medical purposes) was introduced and has a penalty of 14 years.  Other sexual offences carry different penalties, but some of these don’t eliminate the possibility of a charge of rape.  (Appendix I)</w:t>
            </w:r>
          </w:p>
        </w:tc>
      </w:tr>
      <w:tr w:rsidR="007275A7" w:rsidRPr="00517E52" w:rsidTr="007275A7">
        <w:tc>
          <w:tcPr>
            <w:tcW w:w="648" w:type="dxa"/>
          </w:tcPr>
          <w:p w:rsidR="007275A7" w:rsidRPr="00517E52" w:rsidRDefault="007275A7" w:rsidP="002E21D5">
            <w:r w:rsidRPr="00517E52">
              <w:t>15</w:t>
            </w:r>
          </w:p>
        </w:tc>
        <w:tc>
          <w:tcPr>
            <w:tcW w:w="3240" w:type="dxa"/>
          </w:tcPr>
          <w:p w:rsidR="007275A7" w:rsidRPr="007275A7" w:rsidRDefault="007275A7" w:rsidP="002E21D5">
            <w:pPr>
              <w:rPr>
                <w:rFonts w:eastAsia="Calibri"/>
                <w:lang w:eastAsia="en-GB"/>
              </w:rPr>
            </w:pPr>
            <w:r w:rsidRPr="007275A7">
              <w:rPr>
                <w:bCs/>
              </w:rPr>
              <w:t xml:space="preserve">Rape in a de facto union was not addressed. </w:t>
            </w:r>
          </w:p>
          <w:p w:rsidR="007275A7" w:rsidRPr="00517E52" w:rsidRDefault="007275A7" w:rsidP="002E21D5"/>
        </w:tc>
        <w:tc>
          <w:tcPr>
            <w:tcW w:w="6210" w:type="dxa"/>
          </w:tcPr>
          <w:p w:rsidR="007275A7" w:rsidRPr="00517E52" w:rsidRDefault="007275A7" w:rsidP="002E21D5">
            <w:r w:rsidRPr="00517E52">
              <w:t xml:space="preserve">It is understood that penetration of a person with the genital organs of another without the consent of the first mentioned person is rape under the law, regardless to the relationship between them.  This includes persons in de facto and visiting relationships.  If they are married, however, the penalty is different.  “Rape of a spouse” or marital was highlighted because it was </w:t>
            </w:r>
            <w:proofErr w:type="spellStart"/>
            <w:r w:rsidRPr="00517E52">
              <w:t>recognised</w:t>
            </w:r>
            <w:proofErr w:type="spellEnd"/>
            <w:r w:rsidRPr="00517E52">
              <w:t xml:space="preserve"> in law for the first time in 2012, since the Principal Act included a provision that a husband could not be charged for rape of his wife.  </w:t>
            </w:r>
          </w:p>
        </w:tc>
      </w:tr>
      <w:tr w:rsidR="007275A7" w:rsidRPr="00517E52" w:rsidTr="007275A7">
        <w:tc>
          <w:tcPr>
            <w:tcW w:w="648" w:type="dxa"/>
          </w:tcPr>
          <w:p w:rsidR="007275A7" w:rsidRPr="00517E52" w:rsidRDefault="007275A7" w:rsidP="002E21D5">
            <w:r w:rsidRPr="00517E52">
              <w:t>15</w:t>
            </w:r>
          </w:p>
        </w:tc>
        <w:tc>
          <w:tcPr>
            <w:tcW w:w="3240" w:type="dxa"/>
          </w:tcPr>
          <w:p w:rsidR="007275A7" w:rsidRPr="007275A7" w:rsidRDefault="007275A7" w:rsidP="002E21D5">
            <w:pPr>
              <w:rPr>
                <w:b/>
                <w:caps/>
                <w:lang w:val="en-CA"/>
              </w:rPr>
            </w:pPr>
            <w:r w:rsidRPr="007275A7">
              <w:rPr>
                <w:bCs/>
              </w:rPr>
              <w:t>The rules of criminal procedure that are necessary to remove obstacles that could prevent women from seeking justice in these cases were not noted.</w:t>
            </w:r>
          </w:p>
        </w:tc>
        <w:tc>
          <w:tcPr>
            <w:tcW w:w="6210" w:type="dxa"/>
          </w:tcPr>
          <w:p w:rsidR="007275A7" w:rsidRPr="00517E52" w:rsidRDefault="007275A7" w:rsidP="002E21D5">
            <w:r w:rsidRPr="00517E52">
              <w:t xml:space="preserve">As noted on page 6, the amendment to the Criminal Code removed the statute of limitations and the honest belief </w:t>
            </w:r>
            <w:proofErr w:type="spellStart"/>
            <w:r w:rsidRPr="00517E52">
              <w:t>defence</w:t>
            </w:r>
            <w:proofErr w:type="spellEnd"/>
            <w:r w:rsidRPr="00517E52">
              <w:t xml:space="preserve"> in relation to sexual offences against a minor.  These obstacles were not there for other sexual offences.   The amendment also introduced summary offences for some crimes to allow faster access to justice.  These adjustments were made to remove/reduce obstacles. </w:t>
            </w:r>
          </w:p>
          <w:p w:rsidR="007275A7" w:rsidRPr="00517E52" w:rsidRDefault="007275A7" w:rsidP="002E21D5"/>
          <w:p w:rsidR="007275A7" w:rsidRPr="00517E52" w:rsidRDefault="007275A7" w:rsidP="002E21D5">
            <w:r w:rsidRPr="00517E52">
              <w:t xml:space="preserve">Statute of limitation in regard to reporting incidents of sexual </w:t>
            </w:r>
            <w:r w:rsidRPr="00517E52">
              <w:lastRenderedPageBreak/>
              <w:t xml:space="preserve">intercourse with a minor: In the Principal Act, it was required that the report be filed no more than three months after the alleged incident.  The Amendment has removed this time limitation.  </w:t>
            </w:r>
          </w:p>
          <w:p w:rsidR="007275A7" w:rsidRPr="00517E52" w:rsidRDefault="007275A7" w:rsidP="002E21D5"/>
          <w:p w:rsidR="007275A7" w:rsidRPr="00517E52" w:rsidRDefault="007275A7" w:rsidP="002E21D5">
            <w:r w:rsidRPr="00517E52">
              <w:t xml:space="preserve">“Honest belief” </w:t>
            </w:r>
            <w:proofErr w:type="spellStart"/>
            <w:r w:rsidRPr="00517E52">
              <w:t>defence</w:t>
            </w:r>
            <w:proofErr w:type="spellEnd"/>
            <w:r w:rsidRPr="00517E52">
              <w:t xml:space="preserve">: Before its removal, the “honest belief” provision had allowed any defendant to claim that he had reason to believe that the child was above the age of consent at the time of the incident.  The amendment removed this </w:t>
            </w:r>
            <w:proofErr w:type="spellStart"/>
            <w:r w:rsidRPr="00517E52">
              <w:t>defence</w:t>
            </w:r>
            <w:proofErr w:type="spellEnd"/>
            <w:r w:rsidRPr="00517E52">
              <w:t xml:space="preserve"> for defendants above the age of nineteen who are charged with sexual intercourse with a minor.  A defendant up to the age of nineteen can so plead, but only if the minor is thirteen to sixteen years of age, not younger, and if the said defendant was not charged with a similar offence previously.  </w:t>
            </w:r>
          </w:p>
        </w:tc>
      </w:tr>
      <w:tr w:rsidR="007275A7" w:rsidRPr="00517E52" w:rsidTr="007275A7">
        <w:trPr>
          <w:cantSplit/>
        </w:trPr>
        <w:tc>
          <w:tcPr>
            <w:tcW w:w="648" w:type="dxa"/>
          </w:tcPr>
          <w:p w:rsidR="007275A7" w:rsidRPr="00517E52" w:rsidRDefault="007275A7" w:rsidP="002E21D5">
            <w:r w:rsidRPr="00517E52">
              <w:lastRenderedPageBreak/>
              <w:t>17</w:t>
            </w:r>
          </w:p>
        </w:tc>
        <w:tc>
          <w:tcPr>
            <w:tcW w:w="3240" w:type="dxa"/>
          </w:tcPr>
          <w:p w:rsidR="007275A7" w:rsidRPr="007275A7" w:rsidRDefault="007275A7" w:rsidP="002E21D5">
            <w:pPr>
              <w:rPr>
                <w:b/>
                <w:caps/>
                <w:lang w:val="en-CA"/>
              </w:rPr>
            </w:pPr>
            <w:r w:rsidRPr="007275A7">
              <w:rPr>
                <w:bCs/>
              </w:rPr>
              <w:t>Sexual Harassment in employment (education, worship etc).</w:t>
            </w:r>
          </w:p>
        </w:tc>
        <w:tc>
          <w:tcPr>
            <w:tcW w:w="6210" w:type="dxa"/>
          </w:tcPr>
          <w:p w:rsidR="007275A7" w:rsidRPr="007275A7" w:rsidRDefault="007275A7" w:rsidP="002E21D5">
            <w:pPr>
              <w:pStyle w:val="CommentText"/>
              <w:rPr>
                <w:rFonts w:eastAsiaTheme="minorHAnsi"/>
                <w:sz w:val="24"/>
                <w:szCs w:val="24"/>
                <w:lang w:val="en-GB"/>
              </w:rPr>
            </w:pPr>
            <w:r w:rsidRPr="007275A7">
              <w:rPr>
                <w:rFonts w:eastAsiaTheme="minorHAnsi"/>
                <w:sz w:val="24"/>
                <w:szCs w:val="24"/>
                <w:lang w:val="en-GB"/>
              </w:rPr>
              <w:t xml:space="preserve">Remove brackets </w:t>
            </w:r>
          </w:p>
          <w:p w:rsidR="007275A7" w:rsidRPr="00517E52" w:rsidRDefault="007275A7" w:rsidP="002E21D5"/>
        </w:tc>
      </w:tr>
      <w:tr w:rsidR="007275A7" w:rsidRPr="00517E52" w:rsidTr="007275A7">
        <w:tc>
          <w:tcPr>
            <w:tcW w:w="648" w:type="dxa"/>
          </w:tcPr>
          <w:p w:rsidR="007275A7" w:rsidRPr="00517E52" w:rsidRDefault="007275A7" w:rsidP="002E21D5">
            <w:r w:rsidRPr="00517E52">
              <w:t>18</w:t>
            </w:r>
          </w:p>
        </w:tc>
        <w:tc>
          <w:tcPr>
            <w:tcW w:w="3240" w:type="dxa"/>
          </w:tcPr>
          <w:p w:rsidR="007275A7" w:rsidRPr="00517E52" w:rsidRDefault="007275A7" w:rsidP="002E21D5">
            <w:proofErr w:type="spellStart"/>
            <w:r w:rsidRPr="007275A7">
              <w:rPr>
                <w:bCs/>
              </w:rPr>
              <w:t>Femicide</w:t>
            </w:r>
            <w:proofErr w:type="spellEnd"/>
          </w:p>
        </w:tc>
        <w:tc>
          <w:tcPr>
            <w:tcW w:w="6210" w:type="dxa"/>
          </w:tcPr>
          <w:p w:rsidR="007275A7" w:rsidRPr="00517E52" w:rsidRDefault="007275A7" w:rsidP="002E21D5">
            <w:r w:rsidRPr="00517E52">
              <w:t xml:space="preserve">The murder of a woman is treated on equal terms as the murder of a man.  The accused can be charged with capital murder, non-capital murder, or manslaughter, based on the particulars of the case.  Each has different penalties attached, with the most serious offence being capital murder.  It must be noted that murder committed in the course or furtherance of a sexual offence is capital murder.  </w:t>
            </w:r>
          </w:p>
        </w:tc>
      </w:tr>
      <w:tr w:rsidR="007275A7" w:rsidRPr="00517E52" w:rsidTr="007275A7">
        <w:tc>
          <w:tcPr>
            <w:tcW w:w="648" w:type="dxa"/>
          </w:tcPr>
          <w:p w:rsidR="007275A7" w:rsidRPr="00517E52" w:rsidRDefault="007275A7" w:rsidP="002E21D5">
            <w:r w:rsidRPr="00517E52">
              <w:t>18</w:t>
            </w:r>
          </w:p>
        </w:tc>
        <w:tc>
          <w:tcPr>
            <w:tcW w:w="3240" w:type="dxa"/>
          </w:tcPr>
          <w:p w:rsidR="007275A7" w:rsidRPr="00517E52" w:rsidRDefault="007275A7" w:rsidP="002E21D5">
            <w:r w:rsidRPr="007275A7">
              <w:rPr>
                <w:bCs/>
              </w:rPr>
              <w:t xml:space="preserve">Sexual violence committed in state institutions </w:t>
            </w:r>
          </w:p>
        </w:tc>
        <w:tc>
          <w:tcPr>
            <w:tcW w:w="6210" w:type="dxa"/>
          </w:tcPr>
          <w:p w:rsidR="007275A7" w:rsidRPr="00517E52" w:rsidRDefault="007275A7" w:rsidP="002E21D5">
            <w:r w:rsidRPr="00517E52">
              <w:t xml:space="preserve">The Amendment to the Education Act (2012) addresses allegations of sexual violence by teachers and principals (see pages 5-6 of the Responses).  The Act states that where a report is made against a teacher or principal of misconduct of a sexual nature with a student, the Chief Education Officer shall notify the Public Service Commission immediately, which may, within one week, place the teacher or principal on temporary leave of absence with pay, for the duration of a preliminary investigation and disciplinary enquiry in accordance with the relevant sections, but not exceeding 60 working days.  </w:t>
            </w:r>
          </w:p>
        </w:tc>
      </w:tr>
      <w:tr w:rsidR="007275A7" w:rsidRPr="00517E52" w:rsidTr="007275A7">
        <w:tc>
          <w:tcPr>
            <w:tcW w:w="648" w:type="dxa"/>
          </w:tcPr>
          <w:p w:rsidR="007275A7" w:rsidRPr="00517E52" w:rsidRDefault="007275A7" w:rsidP="002E21D5">
            <w:r w:rsidRPr="00517E52">
              <w:t>19</w:t>
            </w:r>
          </w:p>
        </w:tc>
        <w:tc>
          <w:tcPr>
            <w:tcW w:w="3240" w:type="dxa"/>
          </w:tcPr>
          <w:p w:rsidR="007275A7" w:rsidRPr="00517E52" w:rsidRDefault="007275A7" w:rsidP="002E21D5">
            <w:r w:rsidRPr="00517E52">
              <w:t xml:space="preserve">The issues of conciliation, mediation and other methods of out of court settlement </w:t>
            </w:r>
          </w:p>
        </w:tc>
        <w:tc>
          <w:tcPr>
            <w:tcW w:w="6210" w:type="dxa"/>
          </w:tcPr>
          <w:p w:rsidR="007275A7" w:rsidRPr="00517E52" w:rsidRDefault="007275A7" w:rsidP="002E21D5">
            <w:r w:rsidRPr="00517E52">
              <w:t xml:space="preserve">Court Connected Mediation was introduced in Grenada through Practice Direction No. 1 of 2003 as a Member State of the Organization of Eastern Caribbean States (OECS) under the OECS Supreme Court.  It makes provision for the referral to mediation of civil actions filed in the Court.  The Practice Direction does not provide for court connected mediation in family proceedings.  </w:t>
            </w:r>
          </w:p>
          <w:p w:rsidR="007275A7" w:rsidRPr="00517E52" w:rsidRDefault="007275A7" w:rsidP="002E21D5">
            <w:hyperlink r:id="rId9" w:history="1">
              <w:r w:rsidRPr="00517E52">
                <w:rPr>
                  <w:rStyle w:val="Hyperlink"/>
                </w:rPr>
                <w:t>http://www.gov.gd/departments/supreme_court_registry.html</w:t>
              </w:r>
            </w:hyperlink>
            <w:r w:rsidRPr="00517E52">
              <w:t xml:space="preserve">   </w:t>
            </w:r>
          </w:p>
        </w:tc>
      </w:tr>
      <w:tr w:rsidR="007275A7" w:rsidRPr="00517E52" w:rsidTr="007275A7">
        <w:tc>
          <w:tcPr>
            <w:tcW w:w="648" w:type="dxa"/>
          </w:tcPr>
          <w:p w:rsidR="007275A7" w:rsidRPr="00517E52" w:rsidRDefault="007275A7" w:rsidP="002E21D5">
            <w:r w:rsidRPr="00517E52">
              <w:t>19</w:t>
            </w:r>
          </w:p>
        </w:tc>
        <w:tc>
          <w:tcPr>
            <w:tcW w:w="3240" w:type="dxa"/>
          </w:tcPr>
          <w:p w:rsidR="007275A7" w:rsidRPr="00517E52" w:rsidRDefault="007275A7" w:rsidP="002E21D5">
            <w:proofErr w:type="spellStart"/>
            <w:r w:rsidRPr="00517E52">
              <w:t>Femicide</w:t>
            </w:r>
            <w:proofErr w:type="spellEnd"/>
            <w:r w:rsidRPr="00517E52">
              <w:t xml:space="preserve"> and sexual violence </w:t>
            </w:r>
            <w:r w:rsidRPr="00517E52">
              <w:lastRenderedPageBreak/>
              <w:t>in State institutions</w:t>
            </w:r>
          </w:p>
        </w:tc>
        <w:tc>
          <w:tcPr>
            <w:tcW w:w="6210" w:type="dxa"/>
          </w:tcPr>
          <w:p w:rsidR="007275A7" w:rsidRPr="00517E52" w:rsidRDefault="007275A7" w:rsidP="002E21D5">
            <w:proofErr w:type="spellStart"/>
            <w:r w:rsidRPr="00517E52">
              <w:lastRenderedPageBreak/>
              <w:t>Femicide</w:t>
            </w:r>
            <w:proofErr w:type="spellEnd"/>
            <w:r w:rsidRPr="00517E52">
              <w:t xml:space="preserve"> and sexual violence in State institutions are </w:t>
            </w:r>
            <w:r w:rsidRPr="00517E52">
              <w:lastRenderedPageBreak/>
              <w:t xml:space="preserve">addressed above in the reply to Paragraph 18.  </w:t>
            </w:r>
          </w:p>
        </w:tc>
      </w:tr>
      <w:tr w:rsidR="007275A7" w:rsidRPr="00517E52" w:rsidTr="007275A7">
        <w:tc>
          <w:tcPr>
            <w:tcW w:w="648" w:type="dxa"/>
          </w:tcPr>
          <w:p w:rsidR="007275A7" w:rsidRPr="00517E52" w:rsidRDefault="007275A7" w:rsidP="002E21D5">
            <w:r w:rsidRPr="00517E52">
              <w:lastRenderedPageBreak/>
              <w:t>21</w:t>
            </w:r>
          </w:p>
        </w:tc>
        <w:tc>
          <w:tcPr>
            <w:tcW w:w="3240" w:type="dxa"/>
          </w:tcPr>
          <w:p w:rsidR="007275A7" w:rsidRPr="00517E52" w:rsidRDefault="007275A7" w:rsidP="002E21D5">
            <w:r w:rsidRPr="00517E52">
              <w:t xml:space="preserve">Forced Sterilization </w:t>
            </w:r>
          </w:p>
        </w:tc>
        <w:tc>
          <w:tcPr>
            <w:tcW w:w="6210" w:type="dxa"/>
          </w:tcPr>
          <w:p w:rsidR="007275A7" w:rsidRPr="00517E52" w:rsidRDefault="007275A7" w:rsidP="002E21D5">
            <w:r w:rsidRPr="00517E52">
              <w:t xml:space="preserve">Forced </w:t>
            </w:r>
            <w:proofErr w:type="spellStart"/>
            <w:r w:rsidRPr="00517E52">
              <w:t>sterilisation</w:t>
            </w:r>
            <w:proofErr w:type="spellEnd"/>
            <w:r w:rsidRPr="00517E52">
              <w:t xml:space="preserve"> is not performed. </w:t>
            </w:r>
          </w:p>
        </w:tc>
      </w:tr>
      <w:tr w:rsidR="007275A7" w:rsidRPr="00517E52" w:rsidTr="007275A7">
        <w:tc>
          <w:tcPr>
            <w:tcW w:w="648" w:type="dxa"/>
          </w:tcPr>
          <w:p w:rsidR="007275A7" w:rsidRPr="00517E52" w:rsidRDefault="007275A7" w:rsidP="002E21D5">
            <w:r w:rsidRPr="00517E52">
              <w:t>21</w:t>
            </w:r>
          </w:p>
        </w:tc>
        <w:tc>
          <w:tcPr>
            <w:tcW w:w="3240" w:type="dxa"/>
          </w:tcPr>
          <w:p w:rsidR="007275A7" w:rsidRPr="00517E52" w:rsidRDefault="007275A7" w:rsidP="002E21D5">
            <w:r w:rsidRPr="007275A7">
              <w:rPr>
                <w:bCs/>
              </w:rPr>
              <w:t xml:space="preserve">Emergency prophylactic treatment for HIV/AIDS and other sexually transmitted diseases </w:t>
            </w:r>
          </w:p>
        </w:tc>
        <w:tc>
          <w:tcPr>
            <w:tcW w:w="6210" w:type="dxa"/>
          </w:tcPr>
          <w:p w:rsidR="007275A7" w:rsidRPr="00517E52" w:rsidRDefault="007275A7" w:rsidP="002E21D5">
            <w:r w:rsidRPr="007275A7">
              <w:rPr>
                <w:bCs/>
              </w:rPr>
              <w:t>Emergency prophylactic treatment for HIV/AIDS and other sexually transmitted diseases</w:t>
            </w:r>
            <w:r w:rsidRPr="00517E52">
              <w:t xml:space="preserve"> is provided for in the Standard Operating Procedures for the Health Sector.  It is found in the sub-section on prescribing treatment for victims to domestic violence and sexual abuse, including preventing tetanus, pregnancy, </w:t>
            </w:r>
            <w:proofErr w:type="gramStart"/>
            <w:r w:rsidRPr="00517E52">
              <w:t>sexually transmitted infections, HIV, HTLV and Hepatitis B.</w:t>
            </w:r>
            <w:proofErr w:type="gramEnd"/>
            <w:r w:rsidRPr="00517E52">
              <w:t xml:space="preserve">  The SOP also includes guidelines on universal screening, performing examination and obtaining laboratory tests, medico-legal evidence procedures, and self-care for the health care provider.  </w:t>
            </w:r>
          </w:p>
        </w:tc>
      </w:tr>
      <w:tr w:rsidR="007275A7" w:rsidRPr="00517E52" w:rsidTr="007275A7">
        <w:tc>
          <w:tcPr>
            <w:tcW w:w="648" w:type="dxa"/>
          </w:tcPr>
          <w:p w:rsidR="007275A7" w:rsidRPr="00517E52" w:rsidRDefault="007275A7" w:rsidP="002E21D5">
            <w:r w:rsidRPr="00517E52">
              <w:t>23</w:t>
            </w:r>
          </w:p>
        </w:tc>
        <w:tc>
          <w:tcPr>
            <w:tcW w:w="3240" w:type="dxa"/>
          </w:tcPr>
          <w:p w:rsidR="007275A7" w:rsidRPr="00517E52" w:rsidRDefault="007275A7" w:rsidP="002E21D5">
            <w:r w:rsidRPr="007275A7">
              <w:rPr>
                <w:bCs/>
              </w:rPr>
              <w:t>Reparation of victims</w:t>
            </w:r>
          </w:p>
        </w:tc>
        <w:tc>
          <w:tcPr>
            <w:tcW w:w="6210" w:type="dxa"/>
          </w:tcPr>
          <w:p w:rsidR="007275A7" w:rsidRPr="00517E52" w:rsidRDefault="007275A7" w:rsidP="002E21D5">
            <w:r w:rsidRPr="00517E52">
              <w:t xml:space="preserve">As identified in the responses page 4, the DV Act allows for certain payments.  It permits the Magistrate to order the perpetrators to continue to maintain rent and other financial obligations to the victim (applicant) or family, or to pay money to the applicant, even if he/she has vacated the home by virtue of a Protection Order.  While this is not the same as reparation, some financial relief for victims of domestic violence has been introduced.  </w:t>
            </w:r>
          </w:p>
        </w:tc>
      </w:tr>
      <w:tr w:rsidR="007275A7" w:rsidRPr="00517E52" w:rsidTr="007275A7">
        <w:tc>
          <w:tcPr>
            <w:tcW w:w="648" w:type="dxa"/>
          </w:tcPr>
          <w:p w:rsidR="007275A7" w:rsidRPr="00517E52" w:rsidRDefault="007275A7" w:rsidP="002E21D5">
            <w:r w:rsidRPr="00517E52">
              <w:t>25</w:t>
            </w:r>
          </w:p>
        </w:tc>
        <w:tc>
          <w:tcPr>
            <w:tcW w:w="3240" w:type="dxa"/>
          </w:tcPr>
          <w:p w:rsidR="007275A7" w:rsidRPr="00517E52" w:rsidRDefault="007275A7" w:rsidP="002E21D5">
            <w:r w:rsidRPr="007275A7">
              <w:rPr>
                <w:lang w:val="en-CA"/>
              </w:rPr>
              <w:t>A steering Committee</w:t>
            </w:r>
          </w:p>
        </w:tc>
        <w:tc>
          <w:tcPr>
            <w:tcW w:w="6210" w:type="dxa"/>
          </w:tcPr>
          <w:p w:rsidR="007275A7" w:rsidRPr="00517E52" w:rsidRDefault="007275A7" w:rsidP="002E21D5">
            <w:r w:rsidRPr="00517E52">
              <w:t xml:space="preserve">It was called a Task Force.  (Sorry for omitting the correct name in the Responses.)  </w:t>
            </w:r>
          </w:p>
        </w:tc>
      </w:tr>
      <w:tr w:rsidR="007275A7" w:rsidRPr="00517E52" w:rsidTr="007275A7">
        <w:trPr>
          <w:cantSplit/>
        </w:trPr>
        <w:tc>
          <w:tcPr>
            <w:tcW w:w="648" w:type="dxa"/>
          </w:tcPr>
          <w:p w:rsidR="007275A7" w:rsidRPr="00517E52" w:rsidRDefault="007275A7" w:rsidP="002E21D5">
            <w:r w:rsidRPr="00517E52">
              <w:t xml:space="preserve">27 </w:t>
            </w:r>
          </w:p>
        </w:tc>
        <w:tc>
          <w:tcPr>
            <w:tcW w:w="3240" w:type="dxa"/>
          </w:tcPr>
          <w:p w:rsidR="007275A7" w:rsidRPr="00517E52" w:rsidRDefault="007275A7" w:rsidP="002E21D5">
            <w:r w:rsidRPr="007275A7">
              <w:rPr>
                <w:lang w:val="en-CA"/>
              </w:rPr>
              <w:t>Budget is allocated to support social agencies such as the Gender Affairs Division and the Ministry of Social Development that programme for violence against woman.</w:t>
            </w:r>
          </w:p>
        </w:tc>
        <w:tc>
          <w:tcPr>
            <w:tcW w:w="6210" w:type="dxa"/>
          </w:tcPr>
          <w:p w:rsidR="007275A7" w:rsidRPr="007275A7" w:rsidRDefault="007275A7" w:rsidP="002E21D5">
            <w:pPr>
              <w:rPr>
                <w:lang w:val="en-CA"/>
              </w:rPr>
            </w:pPr>
            <w:r w:rsidRPr="007275A7">
              <w:rPr>
                <w:lang w:val="en-CA"/>
              </w:rPr>
              <w:t xml:space="preserve">Budget is allocated to support the social sector such as the programme for violence against women in the Gender Affairs Division of the Ministry of Social Development. </w:t>
            </w:r>
          </w:p>
          <w:p w:rsidR="007275A7" w:rsidRPr="00517E52" w:rsidRDefault="007275A7" w:rsidP="002E21D5">
            <w:r w:rsidRPr="007275A7">
              <w:rPr>
                <w:lang w:val="en-CA"/>
              </w:rPr>
              <w:t xml:space="preserve">(Please note that the Division of Gender and Family Affairs, which is responsible for the programmes to address Gender based violence and gender equality, among others, is part of the Ministry of Social Development.)  </w:t>
            </w:r>
          </w:p>
        </w:tc>
      </w:tr>
      <w:tr w:rsidR="007275A7" w:rsidRPr="00517E52" w:rsidTr="007275A7">
        <w:tc>
          <w:tcPr>
            <w:tcW w:w="648" w:type="dxa"/>
          </w:tcPr>
          <w:p w:rsidR="007275A7" w:rsidRPr="00517E52" w:rsidRDefault="007275A7" w:rsidP="002E21D5">
            <w:r w:rsidRPr="00517E52">
              <w:t>28-29</w:t>
            </w:r>
          </w:p>
        </w:tc>
        <w:tc>
          <w:tcPr>
            <w:tcW w:w="3240" w:type="dxa"/>
          </w:tcPr>
          <w:p w:rsidR="007275A7" w:rsidRPr="007275A7" w:rsidRDefault="007275A7" w:rsidP="002E21D5">
            <w:pPr>
              <w:rPr>
                <w:b/>
                <w:caps/>
                <w:lang w:val="en-CA"/>
              </w:rPr>
            </w:pPr>
            <w:r w:rsidRPr="007275A7">
              <w:rPr>
                <w:lang w:val="en-CA"/>
              </w:rPr>
              <w:t>The report provided data on the Budgetary Allocation to VAW (capital expenditure) for the period 2007-2011. The recurrent expenditure for this period was not provided.</w:t>
            </w:r>
          </w:p>
          <w:p w:rsidR="007275A7" w:rsidRPr="007275A7" w:rsidRDefault="007275A7" w:rsidP="002E21D5">
            <w:pPr>
              <w:rPr>
                <w:lang w:val="en-CA"/>
              </w:rPr>
            </w:pPr>
          </w:p>
          <w:p w:rsidR="007275A7" w:rsidRPr="007275A7" w:rsidRDefault="007275A7" w:rsidP="002E21D5">
            <w:pPr>
              <w:rPr>
                <w:lang w:val="en-CA"/>
              </w:rPr>
            </w:pPr>
            <w:r w:rsidRPr="007275A7">
              <w:rPr>
                <w:lang w:val="en-CA"/>
              </w:rPr>
              <w:t xml:space="preserve">Subvention to the Legal Aid Clinic seems the only direct allocation to an entity associated with legislation. It is noteworthy that the budget allocation to the judiciary and those associated with the formulation and passing of </w:t>
            </w:r>
            <w:r w:rsidRPr="007275A7">
              <w:rPr>
                <w:lang w:val="en-CA"/>
              </w:rPr>
              <w:lastRenderedPageBreak/>
              <w:t>legislation was not made available.</w:t>
            </w:r>
          </w:p>
        </w:tc>
        <w:tc>
          <w:tcPr>
            <w:tcW w:w="6210" w:type="dxa"/>
          </w:tcPr>
          <w:p w:rsidR="007275A7" w:rsidRPr="00517E52" w:rsidRDefault="007275A7" w:rsidP="002E21D5">
            <w:r w:rsidRPr="007275A7">
              <w:rPr>
                <w:lang w:val="en-CA"/>
              </w:rPr>
              <w:lastRenderedPageBreak/>
              <w:t>Recurrent</w:t>
            </w:r>
            <w:r w:rsidRPr="00517E52">
              <w:t xml:space="preserve"> expenditure for the Ministry of Social Development, the Court, Police, and other services are not quantified as the budgeted allocation for VAW is not listed separately from that of the general services/operations.  We do not currently have the capacity to do a detailed analysis of the national budget to identify the total allocation to or expenditure on VAW.  </w:t>
            </w:r>
          </w:p>
          <w:p w:rsidR="007275A7" w:rsidRPr="00517E52" w:rsidRDefault="007275A7" w:rsidP="002E21D5"/>
        </w:tc>
      </w:tr>
      <w:tr w:rsidR="007275A7" w:rsidRPr="00517E52" w:rsidTr="007275A7">
        <w:tc>
          <w:tcPr>
            <w:tcW w:w="648" w:type="dxa"/>
          </w:tcPr>
          <w:p w:rsidR="007275A7" w:rsidRPr="00517E52" w:rsidRDefault="007275A7" w:rsidP="002E21D5">
            <w:r w:rsidRPr="00517E52">
              <w:lastRenderedPageBreak/>
              <w:t>37</w:t>
            </w:r>
          </w:p>
        </w:tc>
        <w:tc>
          <w:tcPr>
            <w:tcW w:w="3240" w:type="dxa"/>
          </w:tcPr>
          <w:p w:rsidR="007275A7" w:rsidRPr="007275A7" w:rsidRDefault="007275A7" w:rsidP="002E21D5">
            <w:pPr>
              <w:rPr>
                <w:b/>
                <w:caps/>
                <w:lang w:val="en-CA"/>
              </w:rPr>
            </w:pPr>
            <w:r w:rsidRPr="007275A7">
              <w:rPr>
                <w:lang w:val="en-CA"/>
              </w:rPr>
              <w:t>It was initiated by GNOW and supported by the Ministry of National Mobilisation and other stakeholders.</w:t>
            </w:r>
          </w:p>
        </w:tc>
        <w:tc>
          <w:tcPr>
            <w:tcW w:w="6210" w:type="dxa"/>
          </w:tcPr>
          <w:p w:rsidR="007275A7" w:rsidRPr="00517E52" w:rsidRDefault="007275A7" w:rsidP="002E21D5">
            <w:r w:rsidRPr="00517E52">
              <w:t xml:space="preserve">Please correct this to: </w:t>
            </w:r>
          </w:p>
          <w:p w:rsidR="007275A7" w:rsidRPr="00517E52" w:rsidRDefault="007275A7" w:rsidP="002E21D5">
            <w:r w:rsidRPr="00517E52">
              <w:t xml:space="preserve">It was initiated by GNOW, in partnership with the Ministry of Social Development and support from other stakeholders.  </w:t>
            </w:r>
          </w:p>
        </w:tc>
      </w:tr>
      <w:tr w:rsidR="007275A7" w:rsidRPr="00517E52" w:rsidTr="007275A7">
        <w:tc>
          <w:tcPr>
            <w:tcW w:w="10098" w:type="dxa"/>
            <w:gridSpan w:val="3"/>
          </w:tcPr>
          <w:p w:rsidR="007275A7" w:rsidRPr="007275A7" w:rsidRDefault="007275A7" w:rsidP="002E21D5">
            <w:pPr>
              <w:rPr>
                <w:b/>
              </w:rPr>
            </w:pPr>
            <w:r w:rsidRPr="007275A7">
              <w:rPr>
                <w:b/>
              </w:rPr>
              <w:t>NATIONAL PLANS</w:t>
            </w:r>
          </w:p>
        </w:tc>
      </w:tr>
      <w:tr w:rsidR="007275A7" w:rsidRPr="00517E52" w:rsidTr="007275A7">
        <w:tc>
          <w:tcPr>
            <w:tcW w:w="648" w:type="dxa"/>
          </w:tcPr>
          <w:p w:rsidR="007275A7" w:rsidRPr="00517E52" w:rsidRDefault="007275A7" w:rsidP="002E21D5">
            <w:r w:rsidRPr="00517E52">
              <w:t>41</w:t>
            </w:r>
          </w:p>
        </w:tc>
        <w:tc>
          <w:tcPr>
            <w:tcW w:w="3240" w:type="dxa"/>
          </w:tcPr>
          <w:p w:rsidR="007275A7" w:rsidRPr="007275A7" w:rsidRDefault="007275A7" w:rsidP="007275A7">
            <w:pPr>
              <w:pStyle w:val="ListParagraph"/>
              <w:numPr>
                <w:ilvl w:val="0"/>
                <w:numId w:val="30"/>
              </w:numPr>
              <w:ind w:left="194" w:hanging="194"/>
              <w:rPr>
                <w:rFonts w:eastAsiaTheme="minorHAnsi"/>
                <w:lang w:val="en-CA"/>
              </w:rPr>
            </w:pPr>
            <w:r w:rsidRPr="007275A7">
              <w:rPr>
                <w:rFonts w:eastAsiaTheme="minorHAnsi"/>
                <w:lang w:val="en-CA"/>
              </w:rPr>
              <w:t xml:space="preserve">Define and implement strategies  or actions or actions relating to prevent, punish and educate  VAW  in any sector </w:t>
            </w:r>
          </w:p>
          <w:p w:rsidR="007275A7" w:rsidRPr="007275A7" w:rsidRDefault="007275A7" w:rsidP="007275A7">
            <w:pPr>
              <w:pStyle w:val="ListParagraph"/>
              <w:numPr>
                <w:ilvl w:val="0"/>
                <w:numId w:val="30"/>
              </w:numPr>
              <w:ind w:left="194" w:hanging="194"/>
              <w:rPr>
                <w:rFonts w:eastAsiaTheme="minorHAnsi"/>
                <w:lang w:val="en-CA"/>
              </w:rPr>
            </w:pPr>
            <w:r w:rsidRPr="007275A7">
              <w:rPr>
                <w:rFonts w:eastAsiaTheme="minorHAnsi"/>
                <w:lang w:val="en-CA"/>
              </w:rPr>
              <w:t xml:space="preserve">Develop ongoing f training plans on VAW and on  women’s right for specialized groups of persons in legislation </w:t>
            </w:r>
          </w:p>
          <w:p w:rsidR="007275A7" w:rsidRPr="007275A7" w:rsidRDefault="007275A7" w:rsidP="007275A7">
            <w:pPr>
              <w:pStyle w:val="ListParagraph"/>
              <w:numPr>
                <w:ilvl w:val="0"/>
                <w:numId w:val="30"/>
              </w:numPr>
              <w:ind w:left="194" w:hanging="194"/>
              <w:rPr>
                <w:rFonts w:eastAsiaTheme="minorHAnsi"/>
                <w:lang w:val="en-CA"/>
              </w:rPr>
            </w:pPr>
            <w:r w:rsidRPr="007275A7">
              <w:rPr>
                <w:rFonts w:eastAsiaTheme="minorHAnsi"/>
                <w:lang w:val="en-CA"/>
              </w:rPr>
              <w:t xml:space="preserve">Campaigns to raise awareness </w:t>
            </w:r>
          </w:p>
          <w:p w:rsidR="007275A7" w:rsidRPr="007275A7" w:rsidRDefault="007275A7" w:rsidP="007275A7">
            <w:pPr>
              <w:pStyle w:val="ListParagraph"/>
              <w:numPr>
                <w:ilvl w:val="0"/>
                <w:numId w:val="30"/>
              </w:numPr>
              <w:ind w:left="194" w:hanging="194"/>
              <w:rPr>
                <w:rFonts w:eastAsiaTheme="minorHAnsi"/>
                <w:lang w:val="en-CA"/>
              </w:rPr>
            </w:pPr>
            <w:r w:rsidRPr="007275A7">
              <w:rPr>
                <w:rFonts w:eastAsiaTheme="minorHAnsi"/>
                <w:lang w:val="en-CA"/>
              </w:rPr>
              <w:t>Strategies for cooperation with media and advertising agencies in order to publicize women’s rights</w:t>
            </w:r>
          </w:p>
        </w:tc>
        <w:tc>
          <w:tcPr>
            <w:tcW w:w="6210" w:type="dxa"/>
          </w:tcPr>
          <w:p w:rsidR="007275A7" w:rsidRPr="007275A7" w:rsidRDefault="007275A7" w:rsidP="002E21D5">
            <w:pPr>
              <w:pStyle w:val="CommentText"/>
              <w:rPr>
                <w:rFonts w:eastAsiaTheme="minorHAnsi"/>
                <w:sz w:val="24"/>
                <w:szCs w:val="24"/>
                <w:lang w:val="en-GB"/>
              </w:rPr>
            </w:pPr>
            <w:r w:rsidRPr="007275A7">
              <w:rPr>
                <w:rFonts w:eastAsiaTheme="minorHAnsi"/>
                <w:sz w:val="24"/>
                <w:szCs w:val="24"/>
                <w:lang w:val="en-GB"/>
              </w:rPr>
              <w:t xml:space="preserve">The ten strategies in the National Strategic Action Plan to Reduce Gender-based Violence are: </w:t>
            </w:r>
          </w:p>
          <w:p w:rsidR="007275A7" w:rsidRPr="00517E52" w:rsidRDefault="007275A7" w:rsidP="007275A7">
            <w:pPr>
              <w:pStyle w:val="ListParagraph"/>
              <w:numPr>
                <w:ilvl w:val="0"/>
                <w:numId w:val="27"/>
              </w:numPr>
              <w:ind w:left="381" w:hanging="381"/>
              <w:contextualSpacing w:val="0"/>
              <w:jc w:val="both"/>
            </w:pPr>
            <w:r w:rsidRPr="007275A7">
              <w:rPr>
                <w:rFonts w:eastAsiaTheme="minorHAnsi"/>
                <w:lang w:val="en-GB"/>
              </w:rPr>
              <w:t>Social Examination</w:t>
            </w:r>
            <w:r w:rsidRPr="00517E52">
              <w:t xml:space="preserve"> of Gender-Based Violence </w:t>
            </w:r>
          </w:p>
          <w:p w:rsidR="007275A7" w:rsidRPr="00517E52" w:rsidRDefault="007275A7" w:rsidP="007275A7">
            <w:pPr>
              <w:pStyle w:val="ListParagraph"/>
              <w:numPr>
                <w:ilvl w:val="0"/>
                <w:numId w:val="27"/>
              </w:numPr>
              <w:ind w:left="381" w:hanging="381"/>
              <w:contextualSpacing w:val="0"/>
              <w:jc w:val="both"/>
            </w:pPr>
            <w:r w:rsidRPr="00517E52">
              <w:t xml:space="preserve">Enhancing the Capacity of the Lead Agent - the Ministry of Social Development </w:t>
            </w:r>
          </w:p>
          <w:p w:rsidR="007275A7" w:rsidRPr="00517E52" w:rsidRDefault="007275A7" w:rsidP="007275A7">
            <w:pPr>
              <w:pStyle w:val="ListParagraph"/>
              <w:numPr>
                <w:ilvl w:val="0"/>
                <w:numId w:val="27"/>
              </w:numPr>
              <w:ind w:left="381" w:hanging="381"/>
              <w:contextualSpacing w:val="0"/>
              <w:jc w:val="both"/>
            </w:pPr>
            <w:r w:rsidRPr="00517E52">
              <w:t xml:space="preserve">Development of a Multi-Agency Approach </w:t>
            </w:r>
          </w:p>
          <w:p w:rsidR="007275A7" w:rsidRPr="00517E52" w:rsidRDefault="007275A7" w:rsidP="007275A7">
            <w:pPr>
              <w:pStyle w:val="ListParagraph"/>
              <w:numPr>
                <w:ilvl w:val="0"/>
                <w:numId w:val="27"/>
              </w:numPr>
              <w:ind w:left="381" w:hanging="381"/>
              <w:contextualSpacing w:val="0"/>
              <w:jc w:val="both"/>
            </w:pPr>
            <w:proofErr w:type="spellStart"/>
            <w:r w:rsidRPr="00517E52">
              <w:t>Sensitisation</w:t>
            </w:r>
            <w:proofErr w:type="spellEnd"/>
            <w:r w:rsidRPr="00517E52">
              <w:t xml:space="preserve">, Training and Support for Responders in Stakeholder Entities </w:t>
            </w:r>
          </w:p>
          <w:p w:rsidR="007275A7" w:rsidRPr="00517E52" w:rsidRDefault="007275A7" w:rsidP="007275A7">
            <w:pPr>
              <w:pStyle w:val="ListParagraph"/>
              <w:numPr>
                <w:ilvl w:val="0"/>
                <w:numId w:val="27"/>
              </w:numPr>
              <w:ind w:left="381" w:hanging="381"/>
              <w:contextualSpacing w:val="0"/>
              <w:jc w:val="both"/>
            </w:pPr>
            <w:r w:rsidRPr="00517E52">
              <w:t>Ensuring Adequate Legal Responses, Law Enforcement, and Rehabilitation of Perpetrators</w:t>
            </w:r>
          </w:p>
          <w:p w:rsidR="007275A7" w:rsidRPr="00517E52" w:rsidRDefault="007275A7" w:rsidP="007275A7">
            <w:pPr>
              <w:pStyle w:val="ListParagraph"/>
              <w:numPr>
                <w:ilvl w:val="0"/>
                <w:numId w:val="27"/>
              </w:numPr>
              <w:ind w:left="381" w:hanging="381"/>
              <w:contextualSpacing w:val="0"/>
              <w:jc w:val="both"/>
            </w:pPr>
            <w:r w:rsidRPr="00517E52">
              <w:t xml:space="preserve">Improving and Providing Adequate Medical Responses </w:t>
            </w:r>
          </w:p>
          <w:p w:rsidR="007275A7" w:rsidRPr="00517E52" w:rsidRDefault="007275A7" w:rsidP="007275A7">
            <w:pPr>
              <w:pStyle w:val="ListParagraph"/>
              <w:numPr>
                <w:ilvl w:val="0"/>
                <w:numId w:val="27"/>
              </w:numPr>
              <w:ind w:left="381" w:hanging="381"/>
              <w:contextualSpacing w:val="0"/>
              <w:jc w:val="both"/>
            </w:pPr>
            <w:r w:rsidRPr="00517E52">
              <w:t xml:space="preserve">Engaging the Education Sector for Educational Programming </w:t>
            </w:r>
          </w:p>
          <w:p w:rsidR="007275A7" w:rsidRPr="00517E52" w:rsidRDefault="007275A7" w:rsidP="007275A7">
            <w:pPr>
              <w:pStyle w:val="ListParagraph"/>
              <w:numPr>
                <w:ilvl w:val="0"/>
                <w:numId w:val="27"/>
              </w:numPr>
              <w:ind w:left="381" w:hanging="381"/>
              <w:contextualSpacing w:val="0"/>
              <w:jc w:val="both"/>
            </w:pPr>
            <w:r w:rsidRPr="00517E52">
              <w:t xml:space="preserve">Communication for Public Education and </w:t>
            </w:r>
            <w:proofErr w:type="spellStart"/>
            <w:r w:rsidRPr="00517E52">
              <w:t>Sensitisation</w:t>
            </w:r>
            <w:proofErr w:type="spellEnd"/>
            <w:r w:rsidRPr="00517E52">
              <w:t xml:space="preserve"> </w:t>
            </w:r>
          </w:p>
          <w:p w:rsidR="007275A7" w:rsidRPr="00517E52" w:rsidRDefault="007275A7" w:rsidP="007275A7">
            <w:pPr>
              <w:pStyle w:val="ListParagraph"/>
              <w:numPr>
                <w:ilvl w:val="0"/>
                <w:numId w:val="27"/>
              </w:numPr>
              <w:ind w:left="381" w:hanging="381"/>
              <w:contextualSpacing w:val="0"/>
              <w:jc w:val="both"/>
            </w:pPr>
            <w:r w:rsidRPr="00517E52">
              <w:t xml:space="preserve">Community </w:t>
            </w:r>
            <w:proofErr w:type="spellStart"/>
            <w:r w:rsidRPr="00517E52">
              <w:t>Mobilisation</w:t>
            </w:r>
            <w:proofErr w:type="spellEnd"/>
            <w:r w:rsidRPr="00517E52">
              <w:t xml:space="preserve"> and Outreach  </w:t>
            </w:r>
          </w:p>
          <w:p w:rsidR="007275A7" w:rsidRPr="00517E52" w:rsidRDefault="007275A7" w:rsidP="007275A7">
            <w:pPr>
              <w:pStyle w:val="ListParagraph"/>
              <w:numPr>
                <w:ilvl w:val="0"/>
                <w:numId w:val="27"/>
              </w:numPr>
              <w:ind w:left="381" w:hanging="381"/>
              <w:contextualSpacing w:val="0"/>
              <w:jc w:val="both"/>
            </w:pPr>
            <w:r w:rsidRPr="00517E52">
              <w:t xml:space="preserve">Providing Immediate to Long Term Support to Victims, Witnesses and Their Families </w:t>
            </w:r>
          </w:p>
          <w:p w:rsidR="007275A7" w:rsidRPr="00517E52" w:rsidRDefault="007275A7" w:rsidP="002E21D5">
            <w:r w:rsidRPr="00517E52">
              <w:t xml:space="preserve">A summary of the Strategic Action Plan is provided in Appendix III.  </w:t>
            </w:r>
          </w:p>
        </w:tc>
      </w:tr>
      <w:tr w:rsidR="007275A7" w:rsidRPr="00517E52" w:rsidTr="007275A7">
        <w:tc>
          <w:tcPr>
            <w:tcW w:w="648" w:type="dxa"/>
          </w:tcPr>
          <w:p w:rsidR="007275A7" w:rsidRPr="00517E52" w:rsidRDefault="007275A7" w:rsidP="002E21D5">
            <w:r w:rsidRPr="00517E52">
              <w:t>42</w:t>
            </w:r>
          </w:p>
        </w:tc>
        <w:tc>
          <w:tcPr>
            <w:tcW w:w="3240" w:type="dxa"/>
          </w:tcPr>
          <w:p w:rsidR="007275A7" w:rsidRPr="007275A7" w:rsidRDefault="007275A7" w:rsidP="002E21D5">
            <w:pPr>
              <w:rPr>
                <w:lang w:val="en-CA"/>
              </w:rPr>
            </w:pPr>
            <w:r w:rsidRPr="007275A7">
              <w:rPr>
                <w:lang w:val="en-CA"/>
              </w:rPr>
              <w:t xml:space="preserve">There is no acknowledgment of women’s knowledge </w:t>
            </w:r>
          </w:p>
        </w:tc>
        <w:tc>
          <w:tcPr>
            <w:tcW w:w="6210" w:type="dxa"/>
          </w:tcPr>
          <w:p w:rsidR="007275A7" w:rsidRPr="00517E52" w:rsidRDefault="007275A7" w:rsidP="002E21D5">
            <w:r w:rsidRPr="00517E52">
              <w:t xml:space="preserve">Pages 6-7 of the responses indicate that public </w:t>
            </w:r>
            <w:proofErr w:type="spellStart"/>
            <w:r w:rsidRPr="00517E52">
              <w:t>sensitisation</w:t>
            </w:r>
            <w:proofErr w:type="spellEnd"/>
            <w:r w:rsidRPr="00517E52">
              <w:t xml:space="preserve"> and presentations to groups are being done.  Women and girls are being informed of the laws, services, etc. </w:t>
            </w:r>
          </w:p>
        </w:tc>
      </w:tr>
      <w:tr w:rsidR="007275A7" w:rsidRPr="00517E52" w:rsidTr="007275A7">
        <w:tc>
          <w:tcPr>
            <w:tcW w:w="648" w:type="dxa"/>
          </w:tcPr>
          <w:p w:rsidR="007275A7" w:rsidRPr="00517E52" w:rsidRDefault="007275A7" w:rsidP="002E21D5">
            <w:r w:rsidRPr="00517E52">
              <w:t>44</w:t>
            </w:r>
          </w:p>
        </w:tc>
        <w:tc>
          <w:tcPr>
            <w:tcW w:w="3240" w:type="dxa"/>
          </w:tcPr>
          <w:p w:rsidR="007275A7" w:rsidRPr="007275A7" w:rsidRDefault="007275A7" w:rsidP="002E21D5">
            <w:pPr>
              <w:rPr>
                <w:lang w:val="en-CA"/>
              </w:rPr>
            </w:pPr>
            <w:r w:rsidRPr="007275A7">
              <w:rPr>
                <w:lang w:val="en-CA"/>
              </w:rPr>
              <w:t xml:space="preserve">No process given. </w:t>
            </w:r>
          </w:p>
          <w:p w:rsidR="007275A7" w:rsidRPr="007275A7" w:rsidRDefault="007275A7" w:rsidP="002E21D5">
            <w:pPr>
              <w:rPr>
                <w:lang w:val="en-CA"/>
              </w:rPr>
            </w:pPr>
          </w:p>
        </w:tc>
        <w:tc>
          <w:tcPr>
            <w:tcW w:w="6210" w:type="dxa"/>
          </w:tcPr>
          <w:p w:rsidR="007275A7" w:rsidRPr="00517E52" w:rsidRDefault="007275A7" w:rsidP="002E21D5">
            <w:r w:rsidRPr="00517E52">
              <w:t xml:space="preserve">The following process was used to develop the National Strategic Action Plan: </w:t>
            </w:r>
          </w:p>
          <w:p w:rsidR="007275A7" w:rsidRPr="00517E52" w:rsidRDefault="007275A7" w:rsidP="002E21D5"/>
          <w:p w:rsidR="007275A7" w:rsidRPr="00517E52" w:rsidRDefault="007275A7" w:rsidP="002E21D5">
            <w:r w:rsidRPr="00517E52">
              <w:t xml:space="preserve">“Review of existing materials on the topic already done by Consultants and others and other relevant laws and materials.  </w:t>
            </w:r>
          </w:p>
          <w:p w:rsidR="007275A7" w:rsidRPr="00517E52" w:rsidRDefault="007275A7" w:rsidP="002E21D5"/>
          <w:p w:rsidR="007275A7" w:rsidRPr="00517E52" w:rsidRDefault="007275A7" w:rsidP="002E21D5">
            <w:r w:rsidRPr="00517E52">
              <w:t xml:space="preserve">“Meetings were held with officials of the Department of Gender within the </w:t>
            </w:r>
            <w:proofErr w:type="spellStart"/>
            <w:r w:rsidRPr="00517E52">
              <w:t>MoSD</w:t>
            </w:r>
            <w:proofErr w:type="spellEnd"/>
            <w:r w:rsidRPr="00517E52">
              <w:t xml:space="preserve">.  Questionnaires were prepared having regard to the terms of reference for the preparation of the Plan and distributed to stakeholders including Policy Makers, Department Heads, advocates, civil society and community leaders and front line responders. These were collected, responses collated and analyzed.  </w:t>
            </w:r>
          </w:p>
          <w:p w:rsidR="007275A7" w:rsidRPr="00517E52" w:rsidRDefault="007275A7" w:rsidP="002E21D5"/>
          <w:p w:rsidR="007275A7" w:rsidRPr="00517E52" w:rsidRDefault="007275A7" w:rsidP="002E21D5">
            <w:r w:rsidRPr="00517E52">
              <w:t xml:space="preserve">“Interviews were held and responses reviewed for relevance </w:t>
            </w:r>
            <w:r w:rsidRPr="00517E52">
              <w:lastRenderedPageBreak/>
              <w:t xml:space="preserve">and inclusion.  Specific interviews/meetings were had with: </w:t>
            </w:r>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the Senior Programme Officer, </w:t>
            </w:r>
            <w:proofErr w:type="spellStart"/>
            <w:r w:rsidRPr="007275A7">
              <w:rPr>
                <w:rFonts w:eastAsiaTheme="minorHAnsi"/>
                <w:lang w:val="en-GB"/>
              </w:rPr>
              <w:t>MoSD</w:t>
            </w:r>
            <w:proofErr w:type="spellEnd"/>
            <w:r w:rsidRPr="007275A7">
              <w:rPr>
                <w:rFonts w:eastAsiaTheme="minorHAnsi"/>
                <w:lang w:val="en-GB"/>
              </w:rPr>
              <w:t xml:space="preserve">; </w:t>
            </w:r>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GBV Programme Specialist, UN WOMEN; </w:t>
            </w:r>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the Coordinator of the DVU, </w:t>
            </w:r>
            <w:proofErr w:type="spellStart"/>
            <w:r w:rsidRPr="007275A7">
              <w:rPr>
                <w:rFonts w:eastAsiaTheme="minorHAnsi"/>
                <w:lang w:val="en-GB"/>
              </w:rPr>
              <w:t>MoSD</w:t>
            </w:r>
            <w:proofErr w:type="spellEnd"/>
            <w:r w:rsidRPr="007275A7">
              <w:rPr>
                <w:rFonts w:eastAsiaTheme="minorHAnsi"/>
                <w:lang w:val="en-GB"/>
              </w:rPr>
              <w:t xml:space="preserve">; </w:t>
            </w:r>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the Chief Social Development Officer, MOSD; </w:t>
            </w:r>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the Psychologist, MOSD; </w:t>
            </w:r>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the Project Coordinator, GNOW;   </w:t>
            </w:r>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survivors of domestic violence and sexual violence; </w:t>
            </w:r>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perpetrators of domestic violence; </w:t>
            </w:r>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the Director of Public Prosecutions; </w:t>
            </w:r>
            <w:bookmarkStart w:id="1" w:name="OLE_LINK1"/>
            <w:bookmarkStart w:id="2" w:name="OLE_LINK2"/>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the Chief Parliamentary Counsel; </w:t>
            </w:r>
          </w:p>
          <w:p w:rsidR="007275A7" w:rsidRPr="007275A7" w:rsidRDefault="007275A7" w:rsidP="007275A7">
            <w:pPr>
              <w:pStyle w:val="ListParagraph"/>
              <w:numPr>
                <w:ilvl w:val="0"/>
                <w:numId w:val="28"/>
              </w:numPr>
              <w:contextualSpacing w:val="0"/>
              <w:jc w:val="both"/>
              <w:rPr>
                <w:rFonts w:eastAsiaTheme="minorHAnsi"/>
                <w:lang w:val="en-GB"/>
              </w:rPr>
            </w:pPr>
            <w:r w:rsidRPr="007275A7">
              <w:rPr>
                <w:rFonts w:eastAsiaTheme="minorHAnsi"/>
                <w:lang w:val="en-GB"/>
              </w:rPr>
              <w:t xml:space="preserve">the Head of the Statistics Department of the Ministry of Finance; and </w:t>
            </w:r>
          </w:p>
          <w:p w:rsidR="007275A7" w:rsidRPr="00517E52" w:rsidRDefault="007275A7" w:rsidP="007275A7">
            <w:pPr>
              <w:pStyle w:val="ListParagraph"/>
              <w:numPr>
                <w:ilvl w:val="0"/>
                <w:numId w:val="28"/>
              </w:numPr>
              <w:contextualSpacing w:val="0"/>
              <w:jc w:val="both"/>
            </w:pPr>
            <w:r w:rsidRPr="007275A7">
              <w:rPr>
                <w:rFonts w:eastAsiaTheme="minorHAnsi"/>
                <w:lang w:val="en-GB"/>
              </w:rPr>
              <w:t>Officers of the Royal Grenada Police</w:t>
            </w:r>
            <w:r w:rsidRPr="00517E52">
              <w:t xml:space="preserve"> Force (Western Division, the Eastern Division, the Southern Division and </w:t>
            </w:r>
            <w:proofErr w:type="spellStart"/>
            <w:r w:rsidRPr="00517E52">
              <w:t>Carriacou</w:t>
            </w:r>
            <w:proofErr w:type="spellEnd"/>
            <w:r w:rsidRPr="00517E52">
              <w:t xml:space="preserve">, including Officers of the Community Relations Departments of these Divisions and the Officer in Criminal Investigation Division assigned with responsibility for response to sexual offences).  </w:t>
            </w:r>
            <w:bookmarkEnd w:id="1"/>
            <w:bookmarkEnd w:id="2"/>
          </w:p>
          <w:p w:rsidR="007275A7" w:rsidRPr="00517E52" w:rsidRDefault="007275A7" w:rsidP="002E21D5"/>
          <w:p w:rsidR="007275A7" w:rsidRPr="00517E52" w:rsidRDefault="007275A7" w:rsidP="002E21D5">
            <w:r w:rsidRPr="00517E52">
              <w:t>“Three national consultations were held with stakeholders with a view of developing this Plan. The first national consultation was held with stakeholders on 30</w:t>
            </w:r>
            <w:r w:rsidRPr="007275A7">
              <w:rPr>
                <w:vertAlign w:val="superscript"/>
              </w:rPr>
              <w:t>th</w:t>
            </w:r>
            <w:r w:rsidRPr="00517E52">
              <w:t xml:space="preserve"> March, 2011 at the Grenada National Stadium.  The second Consultation was held in </w:t>
            </w:r>
            <w:proofErr w:type="spellStart"/>
            <w:r w:rsidRPr="00517E52">
              <w:t>Carriacou</w:t>
            </w:r>
            <w:proofErr w:type="spellEnd"/>
            <w:r w:rsidRPr="00517E52">
              <w:t xml:space="preserve"> with stakeholders from </w:t>
            </w:r>
            <w:proofErr w:type="spellStart"/>
            <w:r w:rsidRPr="00517E52">
              <w:t>Carriacou</w:t>
            </w:r>
            <w:proofErr w:type="spellEnd"/>
            <w:r w:rsidRPr="00517E52">
              <w:t xml:space="preserve"> and Petite Martinique on the 16</w:t>
            </w:r>
            <w:r w:rsidRPr="007275A7">
              <w:rPr>
                <w:vertAlign w:val="superscript"/>
              </w:rPr>
              <w:t>th</w:t>
            </w:r>
            <w:r w:rsidRPr="00517E52">
              <w:t xml:space="preserve"> June, 2011.  </w:t>
            </w:r>
          </w:p>
          <w:p w:rsidR="007275A7" w:rsidRPr="00517E52" w:rsidRDefault="007275A7" w:rsidP="002E21D5"/>
          <w:p w:rsidR="007275A7" w:rsidRPr="00517E52" w:rsidRDefault="007275A7" w:rsidP="002E21D5">
            <w:r w:rsidRPr="00517E52">
              <w:t>“The third and final national consultation was held on 28</w:t>
            </w:r>
            <w:r w:rsidRPr="007275A7">
              <w:rPr>
                <w:vertAlign w:val="superscript"/>
              </w:rPr>
              <w:t>th</w:t>
            </w:r>
            <w:r w:rsidRPr="00517E52">
              <w:t xml:space="preserve"> July, 2011 at the Grenada National Stadium, to discuss the Consultant’s findings and recommendations for the Plan to end gender-based violence in Grenada. The Consultation was attended by policy makers from various Government Ministries and stakeholder, Agencies and NGOs who are responders and advocates, as well as persons impacted by gender-based violence in Grenada.  This interactive consultation, allowed for the garnering of further information from stakeholders which was helpful to the preparation of the Plan. </w:t>
            </w:r>
          </w:p>
          <w:p w:rsidR="007275A7" w:rsidRPr="00517E52" w:rsidRDefault="007275A7" w:rsidP="002E21D5"/>
          <w:p w:rsidR="007275A7" w:rsidRPr="00517E52" w:rsidRDefault="007275A7" w:rsidP="002E21D5">
            <w:r w:rsidRPr="00517E52">
              <w:t>“The questionnaire comments, responses presentations, contributions, suggestions and recommendations received from stakeholders during the interactive consultations and interviews have all been integrated into the drafting of the findings and recommendations of this Plan.</w:t>
            </w:r>
            <w:r w:rsidRPr="007275A7">
              <w:rPr>
                <w:b/>
                <w:bCs/>
              </w:rPr>
              <w:t xml:space="preserve">  </w:t>
            </w:r>
            <w:r w:rsidRPr="00517E52">
              <w:t xml:space="preserve">The completed </w:t>
            </w:r>
            <w:r w:rsidRPr="00517E52">
              <w:lastRenderedPageBreak/>
              <w:t xml:space="preserve">Plan therefore, can be said to be owned by the contributors who are relevant stakeholders in the fight to end gender-based violence in Grenada.  Its implementation inevitably foresees their collaboration.”  </w:t>
            </w:r>
          </w:p>
        </w:tc>
      </w:tr>
      <w:tr w:rsidR="007275A7" w:rsidRPr="00517E52" w:rsidTr="007275A7">
        <w:tc>
          <w:tcPr>
            <w:tcW w:w="648" w:type="dxa"/>
          </w:tcPr>
          <w:p w:rsidR="007275A7" w:rsidRPr="00517E52" w:rsidRDefault="007275A7" w:rsidP="002E21D5">
            <w:r w:rsidRPr="00517E52">
              <w:lastRenderedPageBreak/>
              <w:t>48</w:t>
            </w:r>
          </w:p>
        </w:tc>
        <w:tc>
          <w:tcPr>
            <w:tcW w:w="3240" w:type="dxa"/>
          </w:tcPr>
          <w:p w:rsidR="007275A7" w:rsidRPr="00517E52" w:rsidRDefault="007275A7" w:rsidP="002E21D5">
            <w:r w:rsidRPr="007275A7">
              <w:rPr>
                <w:lang w:val="en-CA"/>
              </w:rPr>
              <w:t>The process involved in the formulation of the plan was not provided.</w:t>
            </w:r>
          </w:p>
        </w:tc>
        <w:tc>
          <w:tcPr>
            <w:tcW w:w="6210" w:type="dxa"/>
          </w:tcPr>
          <w:p w:rsidR="007275A7" w:rsidRPr="007275A7" w:rsidRDefault="007275A7" w:rsidP="002E21D5">
            <w:pPr>
              <w:pStyle w:val="CommentText"/>
              <w:rPr>
                <w:sz w:val="24"/>
                <w:szCs w:val="24"/>
              </w:rPr>
            </w:pPr>
            <w:r w:rsidRPr="007275A7">
              <w:rPr>
                <w:sz w:val="24"/>
                <w:szCs w:val="24"/>
              </w:rPr>
              <w:t xml:space="preserve">The process used to develop the National Domestic Violence and Sexual Abuse Protocol was briefly stated on page 11 of the Responses.  However, more details follow: </w:t>
            </w:r>
          </w:p>
          <w:p w:rsidR="007275A7" w:rsidRPr="007275A7" w:rsidRDefault="007275A7" w:rsidP="002E21D5">
            <w:pPr>
              <w:pStyle w:val="CommentText"/>
              <w:rPr>
                <w:sz w:val="24"/>
                <w:szCs w:val="24"/>
              </w:rPr>
            </w:pPr>
            <w:r w:rsidRPr="007275A7">
              <w:rPr>
                <w:sz w:val="24"/>
                <w:szCs w:val="24"/>
              </w:rPr>
              <w:t xml:space="preserve"> </w:t>
            </w:r>
          </w:p>
          <w:p w:rsidR="007275A7" w:rsidRPr="007275A7" w:rsidRDefault="007275A7" w:rsidP="002E21D5">
            <w:pPr>
              <w:pStyle w:val="CommentText"/>
              <w:rPr>
                <w:sz w:val="24"/>
                <w:szCs w:val="24"/>
              </w:rPr>
            </w:pPr>
            <w:r w:rsidRPr="007275A7">
              <w:rPr>
                <w:sz w:val="24"/>
                <w:szCs w:val="24"/>
              </w:rPr>
              <w:t>“The methodology applied to the creation of this protocol attributed paramount importance to a consultative process that guaranteed full participation by representatives of each stakeholder group.</w:t>
            </w:r>
          </w:p>
          <w:p w:rsidR="007275A7" w:rsidRPr="007275A7" w:rsidRDefault="007275A7" w:rsidP="002E21D5">
            <w:pPr>
              <w:pStyle w:val="CommentText"/>
              <w:rPr>
                <w:sz w:val="24"/>
                <w:szCs w:val="24"/>
              </w:rPr>
            </w:pPr>
          </w:p>
          <w:p w:rsidR="007275A7" w:rsidRPr="007275A7" w:rsidRDefault="007275A7" w:rsidP="002E21D5">
            <w:pPr>
              <w:pStyle w:val="CommentText"/>
              <w:rPr>
                <w:sz w:val="24"/>
                <w:szCs w:val="24"/>
              </w:rPr>
            </w:pPr>
            <w:r w:rsidRPr="007275A7">
              <w:rPr>
                <w:sz w:val="24"/>
                <w:szCs w:val="24"/>
              </w:rPr>
              <w:t xml:space="preserve">Stakeholders participated in a multidisciplinary round- table discussion in July 2009. At that session, major gaps and deficiencies were highlighted and the general response system was evaluated.  This was followed up with individual interviews and focus groups comprised of the identified sectors.  This created the opportunity for more targeted discussion of the specific issues relevant to each area of service delivery. Extensive interviewing was conducted with senior officers of the Royal Grenada Police Force; prosecutors with the police and </w:t>
            </w:r>
            <w:proofErr w:type="spellStart"/>
            <w:r w:rsidRPr="007275A7">
              <w:rPr>
                <w:sz w:val="24"/>
                <w:szCs w:val="24"/>
              </w:rPr>
              <w:t>DPP’s</w:t>
            </w:r>
            <w:proofErr w:type="spellEnd"/>
            <w:r w:rsidRPr="007275A7">
              <w:rPr>
                <w:sz w:val="24"/>
                <w:szCs w:val="24"/>
              </w:rPr>
              <w:t xml:space="preserve"> office; magistrates, health providers; counselors, social workers and officials within the respective ministries who have responsibility for policy development.</w:t>
            </w:r>
          </w:p>
          <w:p w:rsidR="007275A7" w:rsidRPr="007275A7" w:rsidRDefault="007275A7" w:rsidP="002E21D5">
            <w:pPr>
              <w:pStyle w:val="CommentText"/>
              <w:rPr>
                <w:sz w:val="24"/>
                <w:szCs w:val="24"/>
              </w:rPr>
            </w:pPr>
          </w:p>
          <w:p w:rsidR="007275A7" w:rsidRPr="00517E52" w:rsidRDefault="007275A7" w:rsidP="002E21D5">
            <w:r w:rsidRPr="00517E52">
              <w:t>A consultative process was critical to facilitating consensus amongst stakeholders and willingness to bring meaningful effect to the actual implementation of the protocol.</w:t>
            </w:r>
          </w:p>
        </w:tc>
      </w:tr>
      <w:tr w:rsidR="007275A7" w:rsidRPr="00517E52" w:rsidTr="007275A7">
        <w:tc>
          <w:tcPr>
            <w:tcW w:w="10098" w:type="dxa"/>
            <w:gridSpan w:val="3"/>
          </w:tcPr>
          <w:p w:rsidR="007275A7" w:rsidRPr="007275A7" w:rsidRDefault="007275A7" w:rsidP="002E21D5">
            <w:pPr>
              <w:rPr>
                <w:b/>
              </w:rPr>
            </w:pPr>
            <w:r w:rsidRPr="007275A7">
              <w:rPr>
                <w:b/>
              </w:rPr>
              <w:t xml:space="preserve">ACCESS TO JUSTICE </w:t>
            </w:r>
          </w:p>
        </w:tc>
      </w:tr>
      <w:tr w:rsidR="007275A7" w:rsidRPr="00517E52" w:rsidTr="007275A7">
        <w:tc>
          <w:tcPr>
            <w:tcW w:w="648" w:type="dxa"/>
          </w:tcPr>
          <w:p w:rsidR="007275A7" w:rsidRPr="00517E52" w:rsidRDefault="007275A7" w:rsidP="002E21D5">
            <w:r w:rsidRPr="00517E52">
              <w:t>55</w:t>
            </w:r>
          </w:p>
        </w:tc>
        <w:tc>
          <w:tcPr>
            <w:tcW w:w="3240" w:type="dxa"/>
          </w:tcPr>
          <w:p w:rsidR="007275A7" w:rsidRPr="00517E52" w:rsidRDefault="007275A7" w:rsidP="002E21D5">
            <w:r w:rsidRPr="007275A7">
              <w:rPr>
                <w:lang w:val="en-CA"/>
              </w:rPr>
              <w:t xml:space="preserve">The Legal Aid and Counselling Clinic </w:t>
            </w:r>
          </w:p>
        </w:tc>
        <w:tc>
          <w:tcPr>
            <w:tcW w:w="6210" w:type="dxa"/>
          </w:tcPr>
          <w:p w:rsidR="007275A7" w:rsidRPr="00517E52" w:rsidRDefault="007275A7" w:rsidP="002E21D5">
            <w:r w:rsidRPr="00517E52">
              <w:t xml:space="preserve">The Legal Aid and </w:t>
            </w:r>
            <w:proofErr w:type="spellStart"/>
            <w:r w:rsidRPr="00517E52">
              <w:t>Counselling</w:t>
            </w:r>
            <w:proofErr w:type="spellEnd"/>
            <w:r w:rsidRPr="00517E52">
              <w:t xml:space="preserve"> is a </w:t>
            </w:r>
            <w:proofErr w:type="spellStart"/>
            <w:r w:rsidRPr="00517E52">
              <w:t>programme</w:t>
            </w:r>
            <w:proofErr w:type="spellEnd"/>
            <w:r w:rsidRPr="00517E52">
              <w:t xml:space="preserve"> of an NGO which receives financial support from Government (Pages 5, 9 &amp; 10 of the Responses). </w:t>
            </w:r>
          </w:p>
        </w:tc>
      </w:tr>
      <w:tr w:rsidR="007275A7" w:rsidRPr="00517E52" w:rsidTr="007275A7">
        <w:tc>
          <w:tcPr>
            <w:tcW w:w="10098" w:type="dxa"/>
            <w:gridSpan w:val="3"/>
          </w:tcPr>
          <w:p w:rsidR="007275A7" w:rsidRPr="007275A7" w:rsidRDefault="007275A7" w:rsidP="002E21D5">
            <w:pPr>
              <w:rPr>
                <w:b/>
                <w:lang w:val="en-CA"/>
              </w:rPr>
            </w:pPr>
            <w:r w:rsidRPr="007275A7">
              <w:rPr>
                <w:b/>
                <w:lang w:val="en-CA"/>
              </w:rPr>
              <w:t xml:space="preserve">INFORMATION AND STATISTICS </w:t>
            </w:r>
          </w:p>
        </w:tc>
      </w:tr>
      <w:tr w:rsidR="007275A7" w:rsidRPr="00517E52" w:rsidTr="007275A7">
        <w:tc>
          <w:tcPr>
            <w:tcW w:w="648" w:type="dxa"/>
          </w:tcPr>
          <w:p w:rsidR="007275A7" w:rsidRPr="00517E52" w:rsidRDefault="007275A7" w:rsidP="002E21D5">
            <w:r w:rsidRPr="00517E52">
              <w:t>64</w:t>
            </w:r>
          </w:p>
        </w:tc>
        <w:tc>
          <w:tcPr>
            <w:tcW w:w="3240" w:type="dxa"/>
          </w:tcPr>
          <w:p w:rsidR="007275A7" w:rsidRPr="00517E52" w:rsidRDefault="007275A7" w:rsidP="002E21D5">
            <w:r w:rsidRPr="007275A7">
              <w:rPr>
                <w:lang w:val="en-CA"/>
              </w:rPr>
              <w:t>Domestic violence record kept and submitted by the Domestic Violence Unit for processing.</w:t>
            </w:r>
          </w:p>
        </w:tc>
        <w:tc>
          <w:tcPr>
            <w:tcW w:w="6210" w:type="dxa"/>
          </w:tcPr>
          <w:p w:rsidR="007275A7" w:rsidRPr="00517E52" w:rsidRDefault="007275A7" w:rsidP="002E21D5">
            <w:r w:rsidRPr="007275A7">
              <w:rPr>
                <w:lang w:val="en-CA"/>
              </w:rPr>
              <w:t xml:space="preserve">Domestic violence </w:t>
            </w:r>
            <w:r w:rsidRPr="00517E52">
              <w:t>records are kept by the police and submitted to the Gender-based Violence Unit for processing.</w:t>
            </w:r>
          </w:p>
        </w:tc>
      </w:tr>
      <w:tr w:rsidR="007275A7" w:rsidRPr="00517E52" w:rsidTr="007275A7">
        <w:tc>
          <w:tcPr>
            <w:tcW w:w="10098" w:type="dxa"/>
            <w:gridSpan w:val="3"/>
          </w:tcPr>
          <w:p w:rsidR="007275A7" w:rsidRPr="007275A7" w:rsidRDefault="007275A7" w:rsidP="002E21D5">
            <w:pPr>
              <w:rPr>
                <w:b/>
              </w:rPr>
            </w:pPr>
            <w:r w:rsidRPr="007275A7">
              <w:rPr>
                <w:b/>
              </w:rPr>
              <w:t xml:space="preserve">DIVERSITY </w:t>
            </w:r>
          </w:p>
        </w:tc>
      </w:tr>
      <w:tr w:rsidR="007275A7" w:rsidRPr="00517E52" w:rsidTr="007275A7">
        <w:tc>
          <w:tcPr>
            <w:tcW w:w="648" w:type="dxa"/>
          </w:tcPr>
          <w:p w:rsidR="007275A7" w:rsidRPr="00517E52" w:rsidRDefault="007275A7" w:rsidP="002E21D5">
            <w:r w:rsidRPr="00517E52">
              <w:t>79</w:t>
            </w:r>
          </w:p>
        </w:tc>
        <w:tc>
          <w:tcPr>
            <w:tcW w:w="3240" w:type="dxa"/>
          </w:tcPr>
          <w:p w:rsidR="007275A7" w:rsidRPr="00517E52" w:rsidRDefault="007275A7" w:rsidP="002E21D5">
            <w:r w:rsidRPr="007275A7">
              <w:rPr>
                <w:lang w:val="en-CA"/>
              </w:rPr>
              <w:t>“no minority in the population of over 100,000</w:t>
            </w:r>
          </w:p>
        </w:tc>
        <w:tc>
          <w:tcPr>
            <w:tcW w:w="6210" w:type="dxa"/>
          </w:tcPr>
          <w:p w:rsidR="007275A7" w:rsidRPr="00517E52" w:rsidRDefault="007275A7" w:rsidP="002E21D5">
            <w:r w:rsidRPr="00517E52">
              <w:t xml:space="preserve">The quoted statement (p15 of the Responses) is </w:t>
            </w:r>
          </w:p>
          <w:p w:rsidR="007275A7" w:rsidRPr="00517E52" w:rsidRDefault="007275A7" w:rsidP="002E21D5">
            <w:r w:rsidRPr="00517E52">
              <w:t>“</w:t>
            </w:r>
            <w:r w:rsidRPr="007275A7">
              <w:rPr>
                <w:lang w:val="en-CA"/>
              </w:rPr>
              <w:t xml:space="preserve">no specified minority in the population of over 100,000” </w:t>
            </w:r>
          </w:p>
        </w:tc>
      </w:tr>
      <w:tr w:rsidR="007275A7" w:rsidRPr="00517E52" w:rsidTr="007275A7">
        <w:tc>
          <w:tcPr>
            <w:tcW w:w="648" w:type="dxa"/>
          </w:tcPr>
          <w:p w:rsidR="007275A7" w:rsidRPr="00517E52" w:rsidRDefault="007275A7" w:rsidP="002E21D5">
            <w:r w:rsidRPr="00517E52">
              <w:t>80</w:t>
            </w:r>
          </w:p>
        </w:tc>
        <w:tc>
          <w:tcPr>
            <w:tcW w:w="3240" w:type="dxa"/>
          </w:tcPr>
          <w:p w:rsidR="007275A7" w:rsidRPr="00517E52" w:rsidRDefault="007275A7" w:rsidP="002E21D5">
            <w:r w:rsidRPr="007275A7">
              <w:rPr>
                <w:lang w:val="en-CA"/>
              </w:rPr>
              <w:t>It is difficult to comprehend a totally homogeneous society.</w:t>
            </w:r>
          </w:p>
        </w:tc>
        <w:tc>
          <w:tcPr>
            <w:tcW w:w="6210" w:type="dxa"/>
          </w:tcPr>
          <w:p w:rsidR="007275A7" w:rsidRPr="007275A7" w:rsidRDefault="007275A7" w:rsidP="002E21D5">
            <w:pPr>
              <w:pStyle w:val="CommentText"/>
              <w:rPr>
                <w:sz w:val="24"/>
                <w:szCs w:val="24"/>
              </w:rPr>
            </w:pPr>
            <w:r w:rsidRPr="007275A7">
              <w:rPr>
                <w:sz w:val="24"/>
                <w:szCs w:val="24"/>
              </w:rPr>
              <w:t xml:space="preserve">It has been accepted that Grenada is not a homogeneous society, but no minority group has been officially identified.  </w:t>
            </w:r>
            <w:r w:rsidRPr="007275A7">
              <w:rPr>
                <w:sz w:val="24"/>
                <w:szCs w:val="24"/>
              </w:rPr>
              <w:lastRenderedPageBreak/>
              <w:t xml:space="preserve">However, programming for VAW does recognize the special groups.  </w:t>
            </w:r>
          </w:p>
          <w:p w:rsidR="007275A7" w:rsidRPr="007275A7" w:rsidRDefault="007275A7" w:rsidP="007275A7">
            <w:pPr>
              <w:pStyle w:val="CommentText"/>
              <w:numPr>
                <w:ilvl w:val="0"/>
                <w:numId w:val="31"/>
              </w:numPr>
              <w:ind w:left="214" w:hanging="180"/>
              <w:rPr>
                <w:sz w:val="24"/>
                <w:szCs w:val="24"/>
              </w:rPr>
            </w:pPr>
            <w:r w:rsidRPr="007275A7">
              <w:rPr>
                <w:sz w:val="24"/>
                <w:szCs w:val="24"/>
              </w:rPr>
              <w:t xml:space="preserve">To protect persons who have severe mental challenges, the Criminal Code has </w:t>
            </w:r>
            <w:proofErr w:type="gramStart"/>
            <w:r w:rsidRPr="007275A7">
              <w:rPr>
                <w:sz w:val="24"/>
                <w:szCs w:val="24"/>
              </w:rPr>
              <w:t>a</w:t>
            </w:r>
            <w:proofErr w:type="gramEnd"/>
            <w:r w:rsidRPr="007275A7">
              <w:rPr>
                <w:sz w:val="24"/>
                <w:szCs w:val="24"/>
              </w:rPr>
              <w:t xml:space="preserve"> identified “sexual intercourse with an imbecile” as an offence.  </w:t>
            </w:r>
          </w:p>
          <w:p w:rsidR="007275A7" w:rsidRPr="007275A7" w:rsidRDefault="007275A7" w:rsidP="007275A7">
            <w:pPr>
              <w:pStyle w:val="CommentText"/>
              <w:numPr>
                <w:ilvl w:val="0"/>
                <w:numId w:val="31"/>
              </w:numPr>
              <w:ind w:left="214" w:hanging="180"/>
              <w:rPr>
                <w:sz w:val="24"/>
                <w:szCs w:val="24"/>
              </w:rPr>
            </w:pPr>
            <w:r w:rsidRPr="007275A7">
              <w:rPr>
                <w:sz w:val="24"/>
                <w:szCs w:val="24"/>
              </w:rPr>
              <w:t xml:space="preserve">The Standard Operating Procedures for the Health Sector contains sections with special considerations for elderly women, children, men, and mentally incapable patients.  </w:t>
            </w:r>
          </w:p>
          <w:p w:rsidR="007275A7" w:rsidRPr="007275A7" w:rsidRDefault="007275A7" w:rsidP="007275A7">
            <w:pPr>
              <w:pStyle w:val="CommentText"/>
              <w:numPr>
                <w:ilvl w:val="0"/>
                <w:numId w:val="31"/>
              </w:numPr>
              <w:ind w:left="214" w:hanging="180"/>
              <w:rPr>
                <w:sz w:val="24"/>
                <w:szCs w:val="24"/>
              </w:rPr>
            </w:pPr>
            <w:r w:rsidRPr="007275A7">
              <w:rPr>
                <w:sz w:val="24"/>
                <w:szCs w:val="24"/>
              </w:rPr>
              <w:t xml:space="preserve">In our recent public </w:t>
            </w:r>
            <w:proofErr w:type="spellStart"/>
            <w:r w:rsidRPr="007275A7">
              <w:rPr>
                <w:sz w:val="24"/>
                <w:szCs w:val="24"/>
              </w:rPr>
              <w:t>sensitisation</w:t>
            </w:r>
            <w:proofErr w:type="spellEnd"/>
            <w:r w:rsidRPr="007275A7">
              <w:rPr>
                <w:sz w:val="24"/>
                <w:szCs w:val="24"/>
              </w:rPr>
              <w:t xml:space="preserve"> campaigns, we made a brochure listing services for VAW available in Braille, and placed with the Council for the disabled, the hospital ward for eye-care, etc.  </w:t>
            </w:r>
          </w:p>
          <w:p w:rsidR="007275A7" w:rsidRPr="007275A7" w:rsidRDefault="007275A7" w:rsidP="007275A7">
            <w:pPr>
              <w:pStyle w:val="CommentText"/>
              <w:numPr>
                <w:ilvl w:val="0"/>
                <w:numId w:val="31"/>
              </w:numPr>
              <w:ind w:left="214" w:hanging="180"/>
              <w:rPr>
                <w:sz w:val="24"/>
                <w:szCs w:val="24"/>
              </w:rPr>
            </w:pPr>
            <w:r w:rsidRPr="007275A7">
              <w:rPr>
                <w:sz w:val="24"/>
                <w:szCs w:val="24"/>
              </w:rPr>
              <w:t xml:space="preserve">Further, the following is one of the actions for Strategy 10 of the National Strategic Action Plan which encapsulates the recognition of vulnerable groups with regard to domestic and sexual violence:  “Develop special services and </w:t>
            </w:r>
            <w:proofErr w:type="spellStart"/>
            <w:r w:rsidRPr="007275A7">
              <w:rPr>
                <w:sz w:val="24"/>
                <w:szCs w:val="24"/>
              </w:rPr>
              <w:t>programmes</w:t>
            </w:r>
            <w:proofErr w:type="spellEnd"/>
            <w:r w:rsidRPr="007275A7">
              <w:rPr>
                <w:sz w:val="24"/>
                <w:szCs w:val="24"/>
              </w:rPr>
              <w:t xml:space="preserve"> for victims of domestic and sexual violence who require particular attention, such as: </w:t>
            </w:r>
          </w:p>
          <w:p w:rsidR="007275A7" w:rsidRPr="00517E52" w:rsidRDefault="007275A7" w:rsidP="007275A7">
            <w:pPr>
              <w:pStyle w:val="ListParagraph"/>
              <w:numPr>
                <w:ilvl w:val="0"/>
                <w:numId w:val="29"/>
              </w:numPr>
              <w:autoSpaceDE w:val="0"/>
              <w:autoSpaceDN w:val="0"/>
              <w:adjustRightInd w:val="0"/>
              <w:ind w:left="651"/>
              <w:contextualSpacing w:val="0"/>
              <w:jc w:val="both"/>
            </w:pPr>
            <w:r w:rsidRPr="00517E52">
              <w:t xml:space="preserve">women and girls who face multiple causes of vulnerability, such as those arising from economic, social, cultural and educational factors; </w:t>
            </w:r>
          </w:p>
          <w:p w:rsidR="007275A7" w:rsidRPr="00517E52" w:rsidRDefault="007275A7" w:rsidP="007275A7">
            <w:pPr>
              <w:pStyle w:val="ListParagraph"/>
              <w:numPr>
                <w:ilvl w:val="0"/>
                <w:numId w:val="29"/>
              </w:numPr>
              <w:autoSpaceDE w:val="0"/>
              <w:autoSpaceDN w:val="0"/>
              <w:adjustRightInd w:val="0"/>
              <w:ind w:left="651"/>
              <w:contextualSpacing w:val="0"/>
              <w:jc w:val="both"/>
            </w:pPr>
            <w:r w:rsidRPr="00517E52">
              <w:t xml:space="preserve">men and boys; </w:t>
            </w:r>
          </w:p>
          <w:p w:rsidR="007275A7" w:rsidRPr="00517E52" w:rsidRDefault="007275A7" w:rsidP="007275A7">
            <w:pPr>
              <w:pStyle w:val="ListParagraph"/>
              <w:numPr>
                <w:ilvl w:val="0"/>
                <w:numId w:val="29"/>
              </w:numPr>
              <w:autoSpaceDE w:val="0"/>
              <w:autoSpaceDN w:val="0"/>
              <w:adjustRightInd w:val="0"/>
              <w:ind w:left="651"/>
              <w:contextualSpacing w:val="0"/>
              <w:jc w:val="both"/>
            </w:pPr>
            <w:r w:rsidRPr="00517E52">
              <w:t xml:space="preserve">persons who have experienced or are experiencing multiple forms of  abuse and/or discrimination;  </w:t>
            </w:r>
          </w:p>
          <w:p w:rsidR="007275A7" w:rsidRPr="00517E52" w:rsidRDefault="007275A7" w:rsidP="007275A7">
            <w:pPr>
              <w:pStyle w:val="ListParagraph"/>
              <w:numPr>
                <w:ilvl w:val="0"/>
                <w:numId w:val="29"/>
              </w:numPr>
              <w:autoSpaceDE w:val="0"/>
              <w:autoSpaceDN w:val="0"/>
              <w:adjustRightInd w:val="0"/>
              <w:ind w:left="651"/>
              <w:contextualSpacing w:val="0"/>
              <w:jc w:val="both"/>
            </w:pPr>
            <w:r w:rsidRPr="00517E52">
              <w:t xml:space="preserve">persons living in at-risk communities and homes; </w:t>
            </w:r>
          </w:p>
          <w:p w:rsidR="007275A7" w:rsidRPr="00517E52" w:rsidRDefault="007275A7" w:rsidP="007275A7">
            <w:pPr>
              <w:pStyle w:val="ListParagraph"/>
              <w:numPr>
                <w:ilvl w:val="0"/>
                <w:numId w:val="29"/>
              </w:numPr>
              <w:autoSpaceDE w:val="0"/>
              <w:autoSpaceDN w:val="0"/>
              <w:adjustRightInd w:val="0"/>
              <w:ind w:left="651"/>
              <w:contextualSpacing w:val="0"/>
              <w:jc w:val="both"/>
            </w:pPr>
            <w:r w:rsidRPr="00517E52">
              <w:t xml:space="preserve">persons with disabilities; </w:t>
            </w:r>
          </w:p>
          <w:p w:rsidR="007275A7" w:rsidRPr="00517E52" w:rsidRDefault="007275A7" w:rsidP="007275A7">
            <w:pPr>
              <w:pStyle w:val="ListParagraph"/>
              <w:numPr>
                <w:ilvl w:val="0"/>
                <w:numId w:val="29"/>
              </w:numPr>
              <w:autoSpaceDE w:val="0"/>
              <w:autoSpaceDN w:val="0"/>
              <w:adjustRightInd w:val="0"/>
              <w:ind w:left="651"/>
              <w:contextualSpacing w:val="0"/>
              <w:jc w:val="both"/>
            </w:pPr>
            <w:r w:rsidRPr="00517E52">
              <w:t xml:space="preserve">persons living with and affected by HIV/AIDS; </w:t>
            </w:r>
          </w:p>
          <w:p w:rsidR="007275A7" w:rsidRPr="00517E52" w:rsidRDefault="007275A7" w:rsidP="007275A7">
            <w:pPr>
              <w:pStyle w:val="ListParagraph"/>
              <w:numPr>
                <w:ilvl w:val="0"/>
                <w:numId w:val="29"/>
              </w:numPr>
              <w:autoSpaceDE w:val="0"/>
              <w:autoSpaceDN w:val="0"/>
              <w:adjustRightInd w:val="0"/>
              <w:ind w:left="651"/>
              <w:contextualSpacing w:val="0"/>
              <w:jc w:val="both"/>
            </w:pPr>
            <w:r w:rsidRPr="00517E52">
              <w:t xml:space="preserve">persons with children who may also be in need of care and protection; </w:t>
            </w:r>
          </w:p>
          <w:p w:rsidR="007275A7" w:rsidRPr="00517E52" w:rsidRDefault="007275A7" w:rsidP="007275A7">
            <w:pPr>
              <w:pStyle w:val="ListParagraph"/>
              <w:numPr>
                <w:ilvl w:val="0"/>
                <w:numId w:val="29"/>
              </w:numPr>
              <w:autoSpaceDE w:val="0"/>
              <w:autoSpaceDN w:val="0"/>
              <w:adjustRightInd w:val="0"/>
              <w:ind w:left="651"/>
              <w:contextualSpacing w:val="0"/>
              <w:jc w:val="both"/>
            </w:pPr>
            <w:r w:rsidRPr="00517E52">
              <w:t>children who have experienced, witnessed or been affected by GBV;</w:t>
            </w:r>
          </w:p>
          <w:p w:rsidR="007275A7" w:rsidRPr="00517E52" w:rsidRDefault="007275A7" w:rsidP="007275A7">
            <w:pPr>
              <w:pStyle w:val="ListParagraph"/>
              <w:numPr>
                <w:ilvl w:val="0"/>
                <w:numId w:val="29"/>
              </w:numPr>
              <w:autoSpaceDE w:val="0"/>
              <w:autoSpaceDN w:val="0"/>
              <w:adjustRightInd w:val="0"/>
              <w:ind w:left="651"/>
              <w:contextualSpacing w:val="0"/>
              <w:jc w:val="both"/>
            </w:pPr>
            <w:proofErr w:type="gramStart"/>
            <w:r w:rsidRPr="00517E52">
              <w:t>persons</w:t>
            </w:r>
            <w:proofErr w:type="gramEnd"/>
            <w:r w:rsidRPr="00517E52">
              <w:t xml:space="preserve"> who have previously experienced the support system.” </w:t>
            </w:r>
          </w:p>
        </w:tc>
      </w:tr>
      <w:tr w:rsidR="007275A7" w:rsidRPr="00517E52" w:rsidTr="007275A7">
        <w:tc>
          <w:tcPr>
            <w:tcW w:w="10098" w:type="dxa"/>
            <w:gridSpan w:val="3"/>
          </w:tcPr>
          <w:p w:rsidR="007275A7" w:rsidRPr="007275A7" w:rsidRDefault="007275A7" w:rsidP="002E21D5">
            <w:pPr>
              <w:rPr>
                <w:b/>
              </w:rPr>
            </w:pPr>
            <w:r w:rsidRPr="007275A7">
              <w:rPr>
                <w:b/>
              </w:rPr>
              <w:lastRenderedPageBreak/>
              <w:t xml:space="preserve">CONCLUSION </w:t>
            </w:r>
          </w:p>
        </w:tc>
      </w:tr>
      <w:tr w:rsidR="007275A7" w:rsidRPr="00517E52" w:rsidTr="007275A7">
        <w:tc>
          <w:tcPr>
            <w:tcW w:w="648" w:type="dxa"/>
          </w:tcPr>
          <w:p w:rsidR="007275A7" w:rsidRPr="00517E52" w:rsidRDefault="007275A7" w:rsidP="002E21D5">
            <w:r w:rsidRPr="00517E52">
              <w:t>92</w:t>
            </w:r>
          </w:p>
        </w:tc>
        <w:tc>
          <w:tcPr>
            <w:tcW w:w="3240" w:type="dxa"/>
          </w:tcPr>
          <w:p w:rsidR="007275A7" w:rsidRPr="00517E52" w:rsidRDefault="007275A7" w:rsidP="002E21D5">
            <w:r w:rsidRPr="00517E52">
              <w:t>However omissions, partial and or inadequate responses to many of the indicators rendered Grenada’s response ineffective</w:t>
            </w:r>
          </w:p>
        </w:tc>
        <w:tc>
          <w:tcPr>
            <w:tcW w:w="6210" w:type="dxa"/>
          </w:tcPr>
          <w:p w:rsidR="007275A7" w:rsidRPr="00517E52" w:rsidRDefault="007275A7" w:rsidP="002E21D5">
            <w:r w:rsidRPr="00517E52">
              <w:t xml:space="preserve">Omissions in the original Responses are regretted, especially where the information was available.  It is also hoped that corrections would be made where the information was provided but not reflected accurately.  It is hoped that the details provided above, the appendices and the attached Summary of the National Action Plan will fill some of the gaps.  </w:t>
            </w:r>
          </w:p>
        </w:tc>
      </w:tr>
    </w:tbl>
    <w:p w:rsidR="007275A7" w:rsidRPr="00517E52" w:rsidRDefault="007275A7" w:rsidP="007275A7"/>
    <w:p w:rsidR="007275A7" w:rsidRPr="00517E52" w:rsidRDefault="007275A7" w:rsidP="007275A7"/>
    <w:p w:rsidR="007275A7" w:rsidRPr="00517E52" w:rsidRDefault="007275A7" w:rsidP="007275A7">
      <w:pPr>
        <w:sectPr w:rsidR="007275A7" w:rsidRPr="00517E52" w:rsidSect="00517E52">
          <w:type w:val="continuous"/>
          <w:pgSz w:w="12240" w:h="15840" w:code="1"/>
          <w:pgMar w:top="2160" w:right="1570" w:bottom="1296" w:left="1670" w:header="1080" w:footer="648" w:gutter="0"/>
          <w:cols w:space="720"/>
          <w:docGrid w:linePitch="360"/>
        </w:sectPr>
      </w:pPr>
    </w:p>
    <w:p w:rsidR="007275A7" w:rsidRPr="00517E52" w:rsidRDefault="007275A7" w:rsidP="007275A7">
      <w:pPr>
        <w:tabs>
          <w:tab w:val="left" w:pos="2630"/>
          <w:tab w:val="center" w:pos="4752"/>
        </w:tabs>
        <w:jc w:val="center"/>
        <w:rPr>
          <w:b/>
        </w:rPr>
      </w:pPr>
      <w:r w:rsidRPr="00517E52">
        <w:rPr>
          <w:b/>
        </w:rPr>
        <w:lastRenderedPageBreak/>
        <w:t>APPENDIX I</w:t>
      </w:r>
    </w:p>
    <w:p w:rsidR="007275A7" w:rsidRPr="00517E52" w:rsidRDefault="007275A7" w:rsidP="007275A7">
      <w:pPr>
        <w:tabs>
          <w:tab w:val="left" w:pos="2630"/>
          <w:tab w:val="center" w:pos="4752"/>
        </w:tabs>
        <w:jc w:val="center"/>
        <w:rPr>
          <w:b/>
        </w:rPr>
      </w:pPr>
      <w:r w:rsidRPr="00517E52">
        <w:rPr>
          <w:b/>
        </w:rPr>
        <w:lastRenderedPageBreak/>
        <w:t xml:space="preserve">LIST OF MAIN SEXUAL OFFENCES AND THE ASSOCIATED MAXIMUM PENALTY </w:t>
      </w:r>
    </w:p>
    <w:p w:rsidR="007275A7" w:rsidRPr="00517E52" w:rsidRDefault="007275A7" w:rsidP="007275A7"/>
    <w:p w:rsidR="007275A7" w:rsidRPr="00517E52" w:rsidRDefault="007275A7" w:rsidP="007275A7">
      <w:r w:rsidRPr="00517E52">
        <w:t xml:space="preserve">The following table provides easily identifiable criminal offences that can be used to charge accused offenders of sexual abuse or sexual violence.  Law Enforcement and Prosecution Officials can apply any of these offences, as well as others, based on the specifics of the activities.   </w:t>
      </w:r>
    </w:p>
    <w:p w:rsidR="007275A7" w:rsidRPr="00517E52" w:rsidRDefault="007275A7" w:rsidP="007275A7">
      <w:pPr>
        <w:rPr>
          <w:b/>
          <w:u w:val="single"/>
        </w:rPr>
      </w:pPr>
    </w:p>
    <w:tbl>
      <w:tblPr>
        <w:tblW w:w="1018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3798"/>
        <w:gridCol w:w="3492"/>
        <w:gridCol w:w="2898"/>
      </w:tblGrid>
      <w:tr w:rsidR="007275A7" w:rsidRPr="00517E52" w:rsidTr="007275A7">
        <w:trPr>
          <w:cantSplit/>
        </w:trPr>
        <w:tc>
          <w:tcPr>
            <w:tcW w:w="3798" w:type="dxa"/>
          </w:tcPr>
          <w:p w:rsidR="007275A7" w:rsidRPr="007275A7" w:rsidRDefault="007275A7" w:rsidP="007275A7">
            <w:pPr>
              <w:jc w:val="center"/>
              <w:rPr>
                <w:b/>
              </w:rPr>
            </w:pPr>
            <w:r w:rsidRPr="007275A7">
              <w:rPr>
                <w:b/>
              </w:rPr>
              <w:t>NAME OF OFFENCE</w:t>
            </w:r>
          </w:p>
        </w:tc>
        <w:tc>
          <w:tcPr>
            <w:tcW w:w="3492" w:type="dxa"/>
          </w:tcPr>
          <w:p w:rsidR="007275A7" w:rsidRPr="007275A7" w:rsidRDefault="007275A7" w:rsidP="007275A7">
            <w:pPr>
              <w:jc w:val="center"/>
              <w:rPr>
                <w:b/>
              </w:rPr>
            </w:pPr>
            <w:r w:rsidRPr="007275A7">
              <w:rPr>
                <w:b/>
              </w:rPr>
              <w:t>SECTION</w:t>
            </w:r>
          </w:p>
        </w:tc>
        <w:tc>
          <w:tcPr>
            <w:tcW w:w="2898" w:type="dxa"/>
          </w:tcPr>
          <w:p w:rsidR="007275A7" w:rsidRPr="007275A7" w:rsidRDefault="007275A7" w:rsidP="007275A7">
            <w:pPr>
              <w:jc w:val="center"/>
              <w:rPr>
                <w:b/>
              </w:rPr>
            </w:pPr>
            <w:r w:rsidRPr="007275A7">
              <w:rPr>
                <w:b/>
              </w:rPr>
              <w:t xml:space="preserve">MAXIMUM PENALTY </w:t>
            </w:r>
          </w:p>
        </w:tc>
      </w:tr>
      <w:tr w:rsidR="007275A7" w:rsidRPr="00517E52" w:rsidTr="007275A7">
        <w:trPr>
          <w:cantSplit/>
        </w:trPr>
        <w:tc>
          <w:tcPr>
            <w:tcW w:w="3798" w:type="dxa"/>
          </w:tcPr>
          <w:p w:rsidR="007275A7" w:rsidRPr="007275A7" w:rsidRDefault="007275A7" w:rsidP="002E21D5">
            <w:pPr>
              <w:rPr>
                <w:b/>
              </w:rPr>
            </w:pPr>
            <w:r w:rsidRPr="007275A7">
              <w:rPr>
                <w:b/>
              </w:rPr>
              <w:t xml:space="preserve">Indecent assault </w:t>
            </w:r>
          </w:p>
          <w:p w:rsidR="007275A7" w:rsidRPr="00517E52" w:rsidRDefault="007275A7" w:rsidP="002E21D5"/>
        </w:tc>
        <w:tc>
          <w:tcPr>
            <w:tcW w:w="3492" w:type="dxa"/>
          </w:tcPr>
          <w:p w:rsidR="007275A7" w:rsidRPr="00517E52" w:rsidRDefault="007275A7" w:rsidP="007275A7">
            <w:pPr>
              <w:pStyle w:val="ListParagraph"/>
              <w:numPr>
                <w:ilvl w:val="0"/>
                <w:numId w:val="24"/>
              </w:numPr>
              <w:ind w:left="252" w:hanging="270"/>
            </w:pPr>
            <w:r w:rsidRPr="00517E52">
              <w:t xml:space="preserve">Summary Offence: Amendment sec. 6 for Principal Code Sec 81A </w:t>
            </w:r>
          </w:p>
          <w:p w:rsidR="007275A7" w:rsidRPr="00517E52" w:rsidRDefault="007275A7" w:rsidP="007275A7">
            <w:pPr>
              <w:pStyle w:val="ListParagraph"/>
              <w:numPr>
                <w:ilvl w:val="0"/>
                <w:numId w:val="24"/>
              </w:numPr>
              <w:ind w:left="252" w:hanging="270"/>
            </w:pPr>
            <w:r w:rsidRPr="00517E52">
              <w:t>Indictable Offence as part of Aggravated assault: Amendment sec. 18 for Principal Code Sec 176</w:t>
            </w:r>
          </w:p>
        </w:tc>
        <w:tc>
          <w:tcPr>
            <w:tcW w:w="2898" w:type="dxa"/>
          </w:tcPr>
          <w:p w:rsidR="007275A7" w:rsidRPr="00517E52" w:rsidRDefault="007275A7" w:rsidP="007275A7">
            <w:pPr>
              <w:ind w:left="180" w:hanging="180"/>
            </w:pPr>
            <w:r w:rsidRPr="00517E52">
              <w:t>Summary offence: 5 yrs imprisonment</w:t>
            </w:r>
          </w:p>
          <w:p w:rsidR="007275A7" w:rsidRPr="00517E52" w:rsidRDefault="007275A7" w:rsidP="007275A7">
            <w:pPr>
              <w:ind w:left="180" w:hanging="180"/>
            </w:pPr>
          </w:p>
          <w:p w:rsidR="007275A7" w:rsidRPr="00517E52" w:rsidRDefault="007275A7" w:rsidP="007275A7">
            <w:pPr>
              <w:ind w:left="180" w:hanging="180"/>
            </w:pPr>
            <w:r w:rsidRPr="00517E52">
              <w:t>Indictable offence: 10 yrs imprisonment</w:t>
            </w:r>
          </w:p>
        </w:tc>
      </w:tr>
      <w:tr w:rsidR="007275A7" w:rsidRPr="00517E52" w:rsidTr="007275A7">
        <w:trPr>
          <w:cantSplit/>
        </w:trPr>
        <w:tc>
          <w:tcPr>
            <w:tcW w:w="3798" w:type="dxa"/>
          </w:tcPr>
          <w:p w:rsidR="007275A7" w:rsidRPr="00517E52" w:rsidRDefault="007275A7" w:rsidP="002E21D5">
            <w:r w:rsidRPr="007275A7">
              <w:rPr>
                <w:b/>
              </w:rPr>
              <w:t>Rape</w:t>
            </w:r>
            <w:r w:rsidRPr="00517E52">
              <w:t xml:space="preserve">, including </w:t>
            </w:r>
            <w:r w:rsidRPr="007275A7">
              <w:rPr>
                <w:b/>
              </w:rPr>
              <w:t>rape of a Spouse</w:t>
            </w:r>
            <w:r w:rsidRPr="00517E52">
              <w:t xml:space="preserve"> (or marital rape) </w:t>
            </w:r>
          </w:p>
          <w:p w:rsidR="007275A7" w:rsidRPr="007275A7" w:rsidRDefault="007275A7" w:rsidP="002E21D5">
            <w:pPr>
              <w:rPr>
                <w:i/>
              </w:rPr>
            </w:pPr>
            <w:r w:rsidRPr="007275A7">
              <w:rPr>
                <w:i/>
              </w:rPr>
              <w:t xml:space="preserve">Penetration of the genital organs, including anus, with the genital organs of another without consent </w:t>
            </w:r>
          </w:p>
        </w:tc>
        <w:tc>
          <w:tcPr>
            <w:tcW w:w="3492" w:type="dxa"/>
          </w:tcPr>
          <w:p w:rsidR="007275A7" w:rsidRPr="00517E52" w:rsidRDefault="007275A7" w:rsidP="002E21D5">
            <w:r w:rsidRPr="00517E52">
              <w:t>Amendment sec. 19 for Principal Act Sec 177</w:t>
            </w:r>
          </w:p>
          <w:p w:rsidR="007275A7" w:rsidRPr="00517E52" w:rsidRDefault="007275A7" w:rsidP="002E21D5">
            <w:r w:rsidRPr="00517E52">
              <w:t>Amendment sec 26-27 for Principal Act Sec 194-195</w:t>
            </w:r>
          </w:p>
        </w:tc>
        <w:tc>
          <w:tcPr>
            <w:tcW w:w="2898" w:type="dxa"/>
          </w:tcPr>
          <w:p w:rsidR="007275A7" w:rsidRPr="00517E52" w:rsidRDefault="007275A7" w:rsidP="007275A7">
            <w:pPr>
              <w:ind w:left="180" w:hanging="180"/>
            </w:pPr>
            <w:r w:rsidRPr="00517E52">
              <w:t>Rape – 30 yrs imprisonment</w:t>
            </w:r>
          </w:p>
          <w:p w:rsidR="007275A7" w:rsidRPr="00517E52" w:rsidRDefault="007275A7" w:rsidP="007275A7">
            <w:pPr>
              <w:ind w:left="180" w:hanging="180"/>
            </w:pPr>
            <w:r w:rsidRPr="00517E52">
              <w:t>Rape of a spouse – 14 yrs imprisonment</w:t>
            </w:r>
          </w:p>
        </w:tc>
      </w:tr>
      <w:tr w:rsidR="007275A7" w:rsidRPr="00517E52" w:rsidTr="007275A7">
        <w:trPr>
          <w:cantSplit/>
        </w:trPr>
        <w:tc>
          <w:tcPr>
            <w:tcW w:w="3798" w:type="dxa"/>
          </w:tcPr>
          <w:p w:rsidR="007275A7" w:rsidRPr="007275A7" w:rsidRDefault="007275A7" w:rsidP="002E21D5">
            <w:pPr>
              <w:rPr>
                <w:b/>
              </w:rPr>
            </w:pPr>
            <w:r w:rsidRPr="007275A7">
              <w:rPr>
                <w:b/>
              </w:rPr>
              <w:t xml:space="preserve">Sexual assault </w:t>
            </w:r>
          </w:p>
          <w:p w:rsidR="007275A7" w:rsidRPr="007275A7" w:rsidRDefault="007275A7" w:rsidP="002E21D5">
            <w:pPr>
              <w:rPr>
                <w:i/>
              </w:rPr>
            </w:pPr>
            <w:r w:rsidRPr="007275A7">
              <w:rPr>
                <w:i/>
              </w:rPr>
              <w:t>Penetration of the genital organs, including anus, with any part of the body or with an object manipulated by another without consent, except for hygienic or bona fide medical purposes.</w:t>
            </w:r>
          </w:p>
        </w:tc>
        <w:tc>
          <w:tcPr>
            <w:tcW w:w="3492" w:type="dxa"/>
          </w:tcPr>
          <w:p w:rsidR="007275A7" w:rsidRPr="00517E52" w:rsidRDefault="007275A7" w:rsidP="002E21D5">
            <w:r w:rsidRPr="00517E52">
              <w:t xml:space="preserve">Amendment sec. 19 for Principal Act Sec 178 </w:t>
            </w:r>
          </w:p>
        </w:tc>
        <w:tc>
          <w:tcPr>
            <w:tcW w:w="2898" w:type="dxa"/>
          </w:tcPr>
          <w:p w:rsidR="007275A7" w:rsidRPr="00517E52" w:rsidRDefault="007275A7" w:rsidP="007275A7">
            <w:pPr>
              <w:ind w:left="180" w:hanging="180"/>
            </w:pPr>
            <w:r w:rsidRPr="00517E52">
              <w:t xml:space="preserve">  14 yrs imprisonment</w:t>
            </w:r>
          </w:p>
        </w:tc>
      </w:tr>
      <w:tr w:rsidR="007275A7" w:rsidRPr="00517E52" w:rsidTr="007275A7">
        <w:trPr>
          <w:cantSplit/>
        </w:trPr>
        <w:tc>
          <w:tcPr>
            <w:tcW w:w="3798" w:type="dxa"/>
          </w:tcPr>
          <w:p w:rsidR="007275A7" w:rsidRPr="007275A7" w:rsidRDefault="007275A7" w:rsidP="002E21D5">
            <w:pPr>
              <w:rPr>
                <w:b/>
              </w:rPr>
            </w:pPr>
            <w:r w:rsidRPr="007275A7">
              <w:rPr>
                <w:b/>
              </w:rPr>
              <w:t xml:space="preserve">Inducing sexual intercourse by force, duress, etc. </w:t>
            </w:r>
          </w:p>
        </w:tc>
        <w:tc>
          <w:tcPr>
            <w:tcW w:w="3492" w:type="dxa"/>
          </w:tcPr>
          <w:p w:rsidR="007275A7" w:rsidRPr="00517E52" w:rsidRDefault="007275A7" w:rsidP="002E21D5">
            <w:r w:rsidRPr="00517E52">
              <w:t xml:space="preserve">Amendment sec. 19 for Principal Act Sec 179 </w:t>
            </w:r>
          </w:p>
        </w:tc>
        <w:tc>
          <w:tcPr>
            <w:tcW w:w="2898" w:type="dxa"/>
          </w:tcPr>
          <w:p w:rsidR="007275A7" w:rsidRPr="00517E52" w:rsidRDefault="007275A7" w:rsidP="007275A7">
            <w:pPr>
              <w:ind w:left="180" w:hanging="180"/>
            </w:pPr>
            <w:r w:rsidRPr="00517E52">
              <w:t>5 yrs imprisonment</w:t>
            </w:r>
          </w:p>
          <w:p w:rsidR="007275A7" w:rsidRPr="00517E52" w:rsidRDefault="007275A7" w:rsidP="007275A7">
            <w:pPr>
              <w:ind w:left="180" w:hanging="180"/>
            </w:pPr>
            <w:r w:rsidRPr="00517E52">
              <w:t xml:space="preserve">(Can also be rape – Sec 183) </w:t>
            </w:r>
          </w:p>
        </w:tc>
      </w:tr>
      <w:tr w:rsidR="007275A7" w:rsidRPr="00517E52" w:rsidTr="007275A7">
        <w:trPr>
          <w:cantSplit/>
        </w:trPr>
        <w:tc>
          <w:tcPr>
            <w:tcW w:w="3798" w:type="dxa"/>
          </w:tcPr>
          <w:p w:rsidR="007275A7" w:rsidRPr="007275A7" w:rsidRDefault="007275A7" w:rsidP="002E21D5">
            <w:pPr>
              <w:rPr>
                <w:b/>
              </w:rPr>
            </w:pPr>
            <w:r w:rsidRPr="007275A7">
              <w:rPr>
                <w:b/>
              </w:rPr>
              <w:t xml:space="preserve">Sexual intercourse with a person under thirteen years </w:t>
            </w:r>
          </w:p>
        </w:tc>
        <w:tc>
          <w:tcPr>
            <w:tcW w:w="3492" w:type="dxa"/>
          </w:tcPr>
          <w:p w:rsidR="007275A7" w:rsidRPr="00517E52" w:rsidRDefault="007275A7" w:rsidP="002E21D5">
            <w:r w:rsidRPr="00517E52">
              <w:t xml:space="preserve">Amendment sec. 19 for Principal Act Sec 180  </w:t>
            </w:r>
          </w:p>
        </w:tc>
        <w:tc>
          <w:tcPr>
            <w:tcW w:w="2898" w:type="dxa"/>
          </w:tcPr>
          <w:p w:rsidR="007275A7" w:rsidRPr="00517E52" w:rsidRDefault="007275A7" w:rsidP="007275A7">
            <w:pPr>
              <w:ind w:left="180" w:hanging="180"/>
            </w:pPr>
            <w:r w:rsidRPr="00517E52">
              <w:t>Committing offence: 30 yrs imprisonment</w:t>
            </w:r>
          </w:p>
          <w:p w:rsidR="007275A7" w:rsidRPr="00517E52" w:rsidRDefault="007275A7" w:rsidP="007275A7">
            <w:pPr>
              <w:ind w:left="180" w:hanging="180"/>
            </w:pPr>
            <w:r w:rsidRPr="00517E52">
              <w:t>Attempt: 20 yrs imprisonment</w:t>
            </w:r>
          </w:p>
          <w:p w:rsidR="007275A7" w:rsidRPr="00517E52" w:rsidRDefault="007275A7" w:rsidP="007275A7">
            <w:pPr>
              <w:ind w:left="180" w:hanging="180"/>
            </w:pPr>
            <w:r w:rsidRPr="00517E52">
              <w:t xml:space="preserve">(Can also be rape – Sec 183) </w:t>
            </w:r>
          </w:p>
        </w:tc>
      </w:tr>
      <w:tr w:rsidR="007275A7" w:rsidRPr="00517E52" w:rsidTr="007275A7">
        <w:trPr>
          <w:cantSplit/>
        </w:trPr>
        <w:tc>
          <w:tcPr>
            <w:tcW w:w="3798" w:type="dxa"/>
          </w:tcPr>
          <w:p w:rsidR="007275A7" w:rsidRPr="007275A7" w:rsidRDefault="007275A7" w:rsidP="002E21D5">
            <w:pPr>
              <w:rPr>
                <w:b/>
              </w:rPr>
            </w:pPr>
            <w:r w:rsidRPr="007275A7">
              <w:rPr>
                <w:b/>
              </w:rPr>
              <w:t>Sexual intercourse with a person under sixteen years</w:t>
            </w:r>
          </w:p>
        </w:tc>
        <w:tc>
          <w:tcPr>
            <w:tcW w:w="3492" w:type="dxa"/>
          </w:tcPr>
          <w:p w:rsidR="007275A7" w:rsidRPr="00517E52" w:rsidRDefault="007275A7" w:rsidP="002E21D5">
            <w:r w:rsidRPr="00517E52">
              <w:t xml:space="preserve">Amendment sec. 19 for Principal Act Sec 181  </w:t>
            </w:r>
          </w:p>
        </w:tc>
        <w:tc>
          <w:tcPr>
            <w:tcW w:w="2898" w:type="dxa"/>
          </w:tcPr>
          <w:p w:rsidR="007275A7" w:rsidRPr="00517E52" w:rsidRDefault="007275A7" w:rsidP="007275A7">
            <w:pPr>
              <w:ind w:left="180" w:hanging="180"/>
            </w:pPr>
            <w:r w:rsidRPr="00517E52">
              <w:t>Committing offence: 15 yrs imprisonment</w:t>
            </w:r>
          </w:p>
          <w:p w:rsidR="007275A7" w:rsidRPr="00517E52" w:rsidRDefault="007275A7" w:rsidP="007275A7">
            <w:pPr>
              <w:ind w:left="180" w:hanging="180"/>
            </w:pPr>
            <w:r w:rsidRPr="00517E52">
              <w:t xml:space="preserve">(Except where the offender is not more than 19 yrs old and is first offence) </w:t>
            </w:r>
          </w:p>
          <w:p w:rsidR="007275A7" w:rsidRPr="00517E52" w:rsidRDefault="007275A7" w:rsidP="007275A7">
            <w:pPr>
              <w:ind w:left="180" w:hanging="180"/>
            </w:pPr>
            <w:r w:rsidRPr="00517E52">
              <w:t xml:space="preserve">(Can also be rape – Sec 183) </w:t>
            </w:r>
          </w:p>
        </w:tc>
      </w:tr>
      <w:tr w:rsidR="007275A7" w:rsidRPr="00517E52" w:rsidTr="007275A7">
        <w:trPr>
          <w:cantSplit/>
        </w:trPr>
        <w:tc>
          <w:tcPr>
            <w:tcW w:w="3798" w:type="dxa"/>
          </w:tcPr>
          <w:p w:rsidR="007275A7" w:rsidRPr="007275A7" w:rsidRDefault="007275A7" w:rsidP="002E21D5">
            <w:pPr>
              <w:rPr>
                <w:b/>
              </w:rPr>
            </w:pPr>
            <w:r w:rsidRPr="007275A7">
              <w:rPr>
                <w:b/>
              </w:rPr>
              <w:lastRenderedPageBreak/>
              <w:t>Sexual intercourse with an imbecile</w:t>
            </w:r>
          </w:p>
          <w:p w:rsidR="007275A7" w:rsidRPr="007275A7" w:rsidRDefault="007275A7" w:rsidP="002E21D5">
            <w:pPr>
              <w:rPr>
                <w:b/>
              </w:rPr>
            </w:pPr>
          </w:p>
        </w:tc>
        <w:tc>
          <w:tcPr>
            <w:tcW w:w="3492" w:type="dxa"/>
          </w:tcPr>
          <w:p w:rsidR="007275A7" w:rsidRPr="00517E52" w:rsidRDefault="007275A7" w:rsidP="002E21D5">
            <w:r w:rsidRPr="00517E52">
              <w:t xml:space="preserve">Amendment sec. 19 for Principal Act Sec 182  </w:t>
            </w:r>
          </w:p>
        </w:tc>
        <w:tc>
          <w:tcPr>
            <w:tcW w:w="2898" w:type="dxa"/>
          </w:tcPr>
          <w:p w:rsidR="007275A7" w:rsidRPr="00517E52" w:rsidRDefault="007275A7" w:rsidP="007275A7">
            <w:pPr>
              <w:ind w:left="180" w:hanging="180"/>
            </w:pPr>
            <w:r w:rsidRPr="00517E52">
              <w:t>5 yrs imprisonment</w:t>
            </w:r>
          </w:p>
          <w:p w:rsidR="007275A7" w:rsidRPr="00517E52" w:rsidRDefault="007275A7" w:rsidP="007275A7">
            <w:pPr>
              <w:ind w:left="180" w:hanging="180"/>
            </w:pPr>
            <w:r w:rsidRPr="00517E52">
              <w:t xml:space="preserve">(Can also be rape – Sec 183) </w:t>
            </w:r>
          </w:p>
        </w:tc>
      </w:tr>
      <w:tr w:rsidR="007275A7" w:rsidRPr="00517E52" w:rsidTr="007275A7">
        <w:trPr>
          <w:cantSplit/>
        </w:trPr>
        <w:tc>
          <w:tcPr>
            <w:tcW w:w="3798" w:type="dxa"/>
          </w:tcPr>
          <w:p w:rsidR="007275A7" w:rsidRPr="00517E52" w:rsidRDefault="007275A7" w:rsidP="002E21D5">
            <w:r w:rsidRPr="007275A7">
              <w:rPr>
                <w:b/>
              </w:rPr>
              <w:t>Incest by male</w:t>
            </w:r>
          </w:p>
          <w:p w:rsidR="007275A7" w:rsidRPr="007275A7" w:rsidRDefault="007275A7" w:rsidP="002E21D5">
            <w:pPr>
              <w:rPr>
                <w:i/>
              </w:rPr>
            </w:pPr>
            <w:r w:rsidRPr="007275A7">
              <w:rPr>
                <w:i/>
              </w:rPr>
              <w:t xml:space="preserve">Sexual intercourse with daughter, granddaughter, sister, aunt, niece, or mother </w:t>
            </w:r>
          </w:p>
        </w:tc>
        <w:tc>
          <w:tcPr>
            <w:tcW w:w="3492" w:type="dxa"/>
          </w:tcPr>
          <w:p w:rsidR="007275A7" w:rsidRPr="00517E52" w:rsidRDefault="007275A7" w:rsidP="002E21D5">
            <w:r w:rsidRPr="00517E52">
              <w:t xml:space="preserve">Amendment sec. 19 for Principal Act 183 (A) </w:t>
            </w:r>
          </w:p>
        </w:tc>
        <w:tc>
          <w:tcPr>
            <w:tcW w:w="2898" w:type="dxa"/>
          </w:tcPr>
          <w:p w:rsidR="007275A7" w:rsidRPr="00517E52" w:rsidRDefault="007275A7" w:rsidP="007275A7">
            <w:pPr>
              <w:ind w:left="180" w:hanging="180"/>
            </w:pPr>
            <w:r w:rsidRPr="00517E52">
              <w:t xml:space="preserve">If female is under 13 years old – 30 yrs imprisonment </w:t>
            </w:r>
          </w:p>
          <w:p w:rsidR="007275A7" w:rsidRPr="00517E52" w:rsidRDefault="007275A7" w:rsidP="007275A7">
            <w:pPr>
              <w:ind w:left="180" w:hanging="180"/>
            </w:pPr>
            <w:r w:rsidRPr="00517E52">
              <w:t>If female is above 13 years old, 15 yrs imprisonment</w:t>
            </w:r>
          </w:p>
        </w:tc>
      </w:tr>
      <w:tr w:rsidR="007275A7" w:rsidRPr="00517E52" w:rsidTr="007275A7">
        <w:trPr>
          <w:cantSplit/>
        </w:trPr>
        <w:tc>
          <w:tcPr>
            <w:tcW w:w="3798" w:type="dxa"/>
          </w:tcPr>
          <w:p w:rsidR="007275A7" w:rsidRPr="00517E52" w:rsidRDefault="007275A7" w:rsidP="002E21D5">
            <w:r w:rsidRPr="007275A7">
              <w:rPr>
                <w:b/>
              </w:rPr>
              <w:t>Incest by female</w:t>
            </w:r>
          </w:p>
          <w:p w:rsidR="007275A7" w:rsidRPr="007275A7" w:rsidRDefault="007275A7" w:rsidP="002E21D5">
            <w:pPr>
              <w:rPr>
                <w:b/>
                <w:i/>
              </w:rPr>
            </w:pPr>
            <w:r w:rsidRPr="007275A7">
              <w:rPr>
                <w:i/>
              </w:rPr>
              <w:t xml:space="preserve">Sexual intercourse with a father, grandfather, son, brother, uncle or nephew </w:t>
            </w:r>
            <w:r w:rsidRPr="007275A7">
              <w:rPr>
                <w:b/>
                <w:i/>
              </w:rPr>
              <w:t xml:space="preserve"> </w:t>
            </w:r>
          </w:p>
        </w:tc>
        <w:tc>
          <w:tcPr>
            <w:tcW w:w="3492" w:type="dxa"/>
          </w:tcPr>
          <w:p w:rsidR="007275A7" w:rsidRPr="00517E52" w:rsidRDefault="007275A7" w:rsidP="002E21D5">
            <w:r w:rsidRPr="00517E52">
              <w:t>Amendment sec. 19 for Principal Act 183 (B)</w:t>
            </w:r>
          </w:p>
        </w:tc>
        <w:tc>
          <w:tcPr>
            <w:tcW w:w="2898" w:type="dxa"/>
          </w:tcPr>
          <w:p w:rsidR="007275A7" w:rsidRPr="00517E52" w:rsidRDefault="007275A7" w:rsidP="007275A7">
            <w:pPr>
              <w:ind w:left="180" w:hanging="180"/>
            </w:pPr>
            <w:r w:rsidRPr="00517E52">
              <w:t>5 yrs imprisonment</w:t>
            </w:r>
          </w:p>
        </w:tc>
      </w:tr>
      <w:tr w:rsidR="007275A7" w:rsidRPr="00517E52" w:rsidTr="007275A7">
        <w:trPr>
          <w:cantSplit/>
        </w:trPr>
        <w:tc>
          <w:tcPr>
            <w:tcW w:w="3798" w:type="dxa"/>
          </w:tcPr>
          <w:p w:rsidR="007275A7" w:rsidRPr="007275A7" w:rsidRDefault="007275A7" w:rsidP="002E21D5">
            <w:pPr>
              <w:rPr>
                <w:b/>
              </w:rPr>
            </w:pPr>
            <w:r w:rsidRPr="007275A7">
              <w:rPr>
                <w:b/>
              </w:rPr>
              <w:t xml:space="preserve">Sexual intercourse with a step-child, foster child, ward or dependant </w:t>
            </w:r>
          </w:p>
          <w:p w:rsidR="007275A7" w:rsidRPr="007275A7" w:rsidRDefault="007275A7" w:rsidP="002E21D5">
            <w:pPr>
              <w:rPr>
                <w:i/>
              </w:rPr>
            </w:pPr>
            <w:r w:rsidRPr="007275A7">
              <w:rPr>
                <w:i/>
              </w:rPr>
              <w:t xml:space="preserve">Includes adopted child or any other child who is living under adult’s care and protection </w:t>
            </w:r>
          </w:p>
        </w:tc>
        <w:tc>
          <w:tcPr>
            <w:tcW w:w="3492" w:type="dxa"/>
          </w:tcPr>
          <w:p w:rsidR="007275A7" w:rsidRPr="00517E52" w:rsidRDefault="007275A7" w:rsidP="002E21D5">
            <w:r w:rsidRPr="00517E52">
              <w:t>Amendment sec. 19 for Principal Act 183 (C)</w:t>
            </w:r>
          </w:p>
        </w:tc>
        <w:tc>
          <w:tcPr>
            <w:tcW w:w="2898" w:type="dxa"/>
          </w:tcPr>
          <w:p w:rsidR="007275A7" w:rsidRPr="00517E52" w:rsidRDefault="007275A7" w:rsidP="007275A7">
            <w:pPr>
              <w:ind w:left="180" w:hanging="180"/>
            </w:pPr>
            <w:r w:rsidRPr="00517E52">
              <w:t xml:space="preserve">If the victim is under 13 years old – 30 yrs imprisonment </w:t>
            </w:r>
          </w:p>
          <w:p w:rsidR="007275A7" w:rsidRPr="00517E52" w:rsidRDefault="007275A7" w:rsidP="007275A7">
            <w:pPr>
              <w:ind w:left="180" w:hanging="180"/>
            </w:pPr>
            <w:r w:rsidRPr="00517E52">
              <w:t xml:space="preserve">If the victim is above 13 years old – 12 yrs imprisonment </w:t>
            </w:r>
          </w:p>
          <w:p w:rsidR="007275A7" w:rsidRPr="00517E52" w:rsidRDefault="007275A7" w:rsidP="007275A7">
            <w:pPr>
              <w:ind w:left="180" w:hanging="180"/>
            </w:pPr>
          </w:p>
        </w:tc>
      </w:tr>
      <w:tr w:rsidR="007275A7" w:rsidRPr="00517E52" w:rsidTr="007275A7">
        <w:trPr>
          <w:cantSplit/>
        </w:trPr>
        <w:tc>
          <w:tcPr>
            <w:tcW w:w="3798" w:type="dxa"/>
          </w:tcPr>
          <w:p w:rsidR="007275A7" w:rsidRPr="007275A7" w:rsidRDefault="007275A7" w:rsidP="002E21D5">
            <w:pPr>
              <w:rPr>
                <w:b/>
              </w:rPr>
            </w:pPr>
            <w:r w:rsidRPr="007275A7">
              <w:rPr>
                <w:b/>
              </w:rPr>
              <w:t xml:space="preserve">Mandatory Reporting of suspected abuse of a child </w:t>
            </w:r>
          </w:p>
          <w:p w:rsidR="007275A7" w:rsidRPr="00517E52" w:rsidRDefault="007275A7" w:rsidP="002E21D5">
            <w:r w:rsidRPr="007275A7">
              <w:rPr>
                <w:i/>
              </w:rPr>
              <w:t>If a parent, guardian or a person who has the actual custody, charge or control of a child fails to comply once there is reasonable grounds for believing  that a sexual offence has been committed against that child under 18 yrs old</w:t>
            </w:r>
          </w:p>
        </w:tc>
        <w:tc>
          <w:tcPr>
            <w:tcW w:w="3492" w:type="dxa"/>
          </w:tcPr>
          <w:p w:rsidR="007275A7" w:rsidRPr="00517E52" w:rsidRDefault="007275A7" w:rsidP="002E21D5">
            <w:r w:rsidRPr="00517E52">
              <w:t>Amendment sec. 19 for Principal Act 183 (D)</w:t>
            </w:r>
          </w:p>
        </w:tc>
        <w:tc>
          <w:tcPr>
            <w:tcW w:w="2898" w:type="dxa"/>
          </w:tcPr>
          <w:p w:rsidR="007275A7" w:rsidRPr="00517E52" w:rsidRDefault="007275A7" w:rsidP="007275A7">
            <w:pPr>
              <w:ind w:left="180" w:hanging="180"/>
            </w:pPr>
            <w:r w:rsidRPr="00517E52">
              <w:t xml:space="preserve">Fine of $15,000.00 or imprisonment of 7 years or both </w:t>
            </w:r>
          </w:p>
        </w:tc>
      </w:tr>
      <w:tr w:rsidR="007275A7" w:rsidRPr="00517E52" w:rsidTr="007275A7">
        <w:trPr>
          <w:cantSplit/>
        </w:trPr>
        <w:tc>
          <w:tcPr>
            <w:tcW w:w="3798" w:type="dxa"/>
          </w:tcPr>
          <w:p w:rsidR="007275A7" w:rsidRPr="007275A7" w:rsidRDefault="007275A7" w:rsidP="002E21D5">
            <w:pPr>
              <w:rPr>
                <w:b/>
              </w:rPr>
            </w:pPr>
            <w:r w:rsidRPr="007275A7">
              <w:rPr>
                <w:b/>
              </w:rPr>
              <w:t>Permitting or aiding the defilement of a young female or male</w:t>
            </w:r>
          </w:p>
          <w:p w:rsidR="007275A7" w:rsidRPr="007275A7" w:rsidRDefault="007275A7" w:rsidP="002E21D5">
            <w:pPr>
              <w:rPr>
                <w:i/>
              </w:rPr>
            </w:pPr>
            <w:r w:rsidRPr="007275A7">
              <w:rPr>
                <w:i/>
              </w:rPr>
              <w:t xml:space="preserve">Owner, occupier or manager of any premises who induces or knowingly allows a minor to be on the premises for the purpose of sexual intercourse </w:t>
            </w:r>
          </w:p>
        </w:tc>
        <w:tc>
          <w:tcPr>
            <w:tcW w:w="3492" w:type="dxa"/>
          </w:tcPr>
          <w:p w:rsidR="007275A7" w:rsidRPr="00517E52" w:rsidRDefault="007275A7" w:rsidP="002E21D5">
            <w:r w:rsidRPr="00517E52">
              <w:t>Amendment 20 for Principal Act Sec 187</w:t>
            </w:r>
          </w:p>
        </w:tc>
        <w:tc>
          <w:tcPr>
            <w:tcW w:w="2898" w:type="dxa"/>
          </w:tcPr>
          <w:p w:rsidR="007275A7" w:rsidRPr="00517E52" w:rsidRDefault="007275A7" w:rsidP="007275A7">
            <w:pPr>
              <w:ind w:left="180" w:hanging="180"/>
            </w:pPr>
            <w:r w:rsidRPr="00517E52">
              <w:t xml:space="preserve">Male or female under 13 years old – 20 yrs imprisonment </w:t>
            </w:r>
          </w:p>
          <w:p w:rsidR="007275A7" w:rsidRPr="00517E52" w:rsidRDefault="007275A7" w:rsidP="007275A7">
            <w:pPr>
              <w:ind w:left="180" w:hanging="180"/>
            </w:pPr>
            <w:r w:rsidRPr="00517E52">
              <w:t xml:space="preserve">Male or female above 13 years old – 10 yrs imprisonment </w:t>
            </w:r>
          </w:p>
          <w:p w:rsidR="007275A7" w:rsidRPr="00517E52" w:rsidRDefault="007275A7" w:rsidP="007275A7">
            <w:pPr>
              <w:ind w:left="180" w:hanging="180"/>
            </w:pPr>
          </w:p>
        </w:tc>
      </w:tr>
      <w:tr w:rsidR="007275A7" w:rsidRPr="00517E52" w:rsidTr="007275A7">
        <w:trPr>
          <w:cantSplit/>
        </w:trPr>
        <w:tc>
          <w:tcPr>
            <w:tcW w:w="3798" w:type="dxa"/>
          </w:tcPr>
          <w:p w:rsidR="007275A7" w:rsidRPr="007275A7" w:rsidRDefault="007275A7" w:rsidP="002E21D5">
            <w:pPr>
              <w:rPr>
                <w:b/>
              </w:rPr>
            </w:pPr>
            <w:proofErr w:type="spellStart"/>
            <w:r w:rsidRPr="007275A7">
              <w:rPr>
                <w:b/>
              </w:rPr>
              <w:t>Procuration</w:t>
            </w:r>
            <w:proofErr w:type="spellEnd"/>
          </w:p>
          <w:p w:rsidR="007275A7" w:rsidRPr="007275A7" w:rsidRDefault="007275A7" w:rsidP="002E21D5">
            <w:pPr>
              <w:rPr>
                <w:i/>
              </w:rPr>
            </w:pPr>
            <w:r w:rsidRPr="007275A7">
              <w:rPr>
                <w:i/>
              </w:rPr>
              <w:t>Procures a female or male to have sexual intercourse or become a common prostitute within or outside the State, or to leave the State, or to leave her usual place of abode within the State for purposes of prostitution</w:t>
            </w:r>
          </w:p>
        </w:tc>
        <w:tc>
          <w:tcPr>
            <w:tcW w:w="3492" w:type="dxa"/>
          </w:tcPr>
          <w:p w:rsidR="007275A7" w:rsidRPr="00517E52" w:rsidRDefault="007275A7" w:rsidP="002E21D5">
            <w:r w:rsidRPr="00517E52">
              <w:t xml:space="preserve">Amendment 22 for Principal Act Sec 188 </w:t>
            </w:r>
          </w:p>
        </w:tc>
        <w:tc>
          <w:tcPr>
            <w:tcW w:w="2898" w:type="dxa"/>
          </w:tcPr>
          <w:p w:rsidR="007275A7" w:rsidRPr="00517E52" w:rsidRDefault="007275A7" w:rsidP="007275A7">
            <w:pPr>
              <w:ind w:left="180" w:hanging="180"/>
            </w:pPr>
            <w:r w:rsidRPr="00517E52">
              <w:t>10 yrs imprisonment</w:t>
            </w:r>
          </w:p>
        </w:tc>
      </w:tr>
      <w:tr w:rsidR="007275A7" w:rsidRPr="00517E52" w:rsidTr="007275A7">
        <w:trPr>
          <w:cantSplit/>
        </w:trPr>
        <w:tc>
          <w:tcPr>
            <w:tcW w:w="3798" w:type="dxa"/>
          </w:tcPr>
          <w:p w:rsidR="007275A7" w:rsidRPr="007275A7" w:rsidRDefault="007275A7" w:rsidP="002E21D5">
            <w:pPr>
              <w:rPr>
                <w:b/>
              </w:rPr>
            </w:pPr>
            <w:r w:rsidRPr="007275A7">
              <w:rPr>
                <w:b/>
              </w:rPr>
              <w:lastRenderedPageBreak/>
              <w:t xml:space="preserve">Trading in prostitution </w:t>
            </w:r>
          </w:p>
        </w:tc>
        <w:tc>
          <w:tcPr>
            <w:tcW w:w="3492" w:type="dxa"/>
          </w:tcPr>
          <w:p w:rsidR="007275A7" w:rsidRPr="00517E52" w:rsidRDefault="007275A7" w:rsidP="002E21D5">
            <w:r w:rsidRPr="00517E52">
              <w:t>Amendment 23 for Principal Act Sec 188 A</w:t>
            </w:r>
          </w:p>
        </w:tc>
        <w:tc>
          <w:tcPr>
            <w:tcW w:w="2898" w:type="dxa"/>
          </w:tcPr>
          <w:p w:rsidR="007275A7" w:rsidRPr="00517E52" w:rsidRDefault="007275A7" w:rsidP="007275A7">
            <w:pPr>
              <w:ind w:left="180" w:hanging="180"/>
            </w:pPr>
            <w:r w:rsidRPr="00517E52">
              <w:t>10 yrs imprisonment</w:t>
            </w:r>
          </w:p>
        </w:tc>
      </w:tr>
      <w:tr w:rsidR="007275A7" w:rsidRPr="00517E52" w:rsidTr="007275A7">
        <w:trPr>
          <w:cantSplit/>
        </w:trPr>
        <w:tc>
          <w:tcPr>
            <w:tcW w:w="3798" w:type="dxa"/>
          </w:tcPr>
          <w:p w:rsidR="007275A7" w:rsidRPr="007275A7" w:rsidRDefault="007275A7" w:rsidP="002E21D5">
            <w:pPr>
              <w:rPr>
                <w:b/>
              </w:rPr>
            </w:pPr>
            <w:r w:rsidRPr="007275A7">
              <w:rPr>
                <w:b/>
              </w:rPr>
              <w:t>Keeping a brothel</w:t>
            </w:r>
          </w:p>
        </w:tc>
        <w:tc>
          <w:tcPr>
            <w:tcW w:w="3492" w:type="dxa"/>
          </w:tcPr>
          <w:p w:rsidR="007275A7" w:rsidRPr="00517E52" w:rsidRDefault="007275A7" w:rsidP="002E21D5">
            <w:r w:rsidRPr="00517E52">
              <w:t>Amendment 23 for Principal Act Sec 188 B</w:t>
            </w:r>
          </w:p>
        </w:tc>
        <w:tc>
          <w:tcPr>
            <w:tcW w:w="2898" w:type="dxa"/>
          </w:tcPr>
          <w:p w:rsidR="007275A7" w:rsidRPr="00517E52" w:rsidRDefault="007275A7" w:rsidP="007275A7">
            <w:pPr>
              <w:ind w:left="180" w:hanging="180"/>
            </w:pPr>
            <w:r w:rsidRPr="00517E52">
              <w:t>10 yrs imprisonment</w:t>
            </w:r>
          </w:p>
        </w:tc>
      </w:tr>
      <w:tr w:rsidR="007275A7" w:rsidRPr="00517E52" w:rsidTr="007275A7">
        <w:trPr>
          <w:cantSplit/>
        </w:trPr>
        <w:tc>
          <w:tcPr>
            <w:tcW w:w="3798" w:type="dxa"/>
          </w:tcPr>
          <w:p w:rsidR="007275A7" w:rsidRPr="007275A7" w:rsidRDefault="007275A7" w:rsidP="002E21D5">
            <w:pPr>
              <w:rPr>
                <w:b/>
              </w:rPr>
            </w:pPr>
            <w:r w:rsidRPr="007275A7">
              <w:rPr>
                <w:b/>
              </w:rPr>
              <w:t>Forcible taking or detaining of a person to have sexual intercourse</w:t>
            </w:r>
          </w:p>
        </w:tc>
        <w:tc>
          <w:tcPr>
            <w:tcW w:w="3492" w:type="dxa"/>
          </w:tcPr>
          <w:p w:rsidR="007275A7" w:rsidRPr="00517E52" w:rsidRDefault="007275A7" w:rsidP="002E21D5">
            <w:r w:rsidRPr="00517E52">
              <w:t>Amendment 24 for Principal Act Sec 189</w:t>
            </w:r>
          </w:p>
        </w:tc>
        <w:tc>
          <w:tcPr>
            <w:tcW w:w="2898" w:type="dxa"/>
          </w:tcPr>
          <w:p w:rsidR="007275A7" w:rsidRPr="00517E52" w:rsidRDefault="007275A7" w:rsidP="007275A7">
            <w:pPr>
              <w:ind w:left="180" w:hanging="180"/>
            </w:pPr>
            <w:r w:rsidRPr="00517E52">
              <w:t>10 yrs imprisonment</w:t>
            </w:r>
          </w:p>
        </w:tc>
      </w:tr>
      <w:tr w:rsidR="007275A7" w:rsidRPr="00517E52" w:rsidTr="007275A7">
        <w:trPr>
          <w:cantSplit/>
        </w:trPr>
        <w:tc>
          <w:tcPr>
            <w:tcW w:w="3798" w:type="dxa"/>
          </w:tcPr>
          <w:p w:rsidR="007275A7" w:rsidRPr="007275A7" w:rsidRDefault="007275A7" w:rsidP="002E21D5">
            <w:pPr>
              <w:rPr>
                <w:b/>
              </w:rPr>
            </w:pPr>
            <w:r w:rsidRPr="007275A7">
              <w:rPr>
                <w:b/>
              </w:rPr>
              <w:t xml:space="preserve">Unlawful detention of a person to have sexual intercourse </w:t>
            </w:r>
          </w:p>
        </w:tc>
        <w:tc>
          <w:tcPr>
            <w:tcW w:w="3492" w:type="dxa"/>
          </w:tcPr>
          <w:p w:rsidR="007275A7" w:rsidRPr="00517E52" w:rsidRDefault="007275A7" w:rsidP="002E21D5">
            <w:r w:rsidRPr="00517E52">
              <w:t>Amendment 22 for Principal Act Sec 190</w:t>
            </w:r>
          </w:p>
        </w:tc>
        <w:tc>
          <w:tcPr>
            <w:tcW w:w="2898" w:type="dxa"/>
          </w:tcPr>
          <w:p w:rsidR="007275A7" w:rsidRPr="00517E52" w:rsidRDefault="007275A7" w:rsidP="007275A7">
            <w:pPr>
              <w:ind w:left="180" w:hanging="180"/>
            </w:pPr>
            <w:r w:rsidRPr="00517E52">
              <w:t>5 yrs imprisonment</w:t>
            </w:r>
          </w:p>
        </w:tc>
      </w:tr>
    </w:tbl>
    <w:p w:rsidR="007275A7" w:rsidRPr="00517E52" w:rsidRDefault="007275A7" w:rsidP="007275A7"/>
    <w:p w:rsidR="007275A7" w:rsidRPr="00517E52" w:rsidRDefault="007275A7" w:rsidP="007275A7"/>
    <w:p w:rsidR="007275A7" w:rsidRPr="00517E52" w:rsidRDefault="007275A7" w:rsidP="007275A7">
      <w:pPr>
        <w:tabs>
          <w:tab w:val="left" w:pos="2630"/>
          <w:tab w:val="center" w:pos="4752"/>
        </w:tabs>
        <w:rPr>
          <w:b/>
        </w:rPr>
      </w:pPr>
      <w:r w:rsidRPr="00517E52">
        <w:rPr>
          <w:b/>
        </w:rPr>
        <w:tab/>
      </w:r>
    </w:p>
    <w:p w:rsidR="007275A7" w:rsidRPr="00517E52" w:rsidRDefault="007275A7" w:rsidP="007275A7">
      <w:pPr>
        <w:rPr>
          <w:b/>
        </w:rPr>
      </w:pPr>
      <w:r w:rsidRPr="00517E52">
        <w:rPr>
          <w:b/>
        </w:rPr>
        <w:br w:type="page"/>
      </w:r>
    </w:p>
    <w:p w:rsidR="007275A7" w:rsidRPr="00517E52" w:rsidRDefault="007275A7" w:rsidP="007275A7">
      <w:pPr>
        <w:tabs>
          <w:tab w:val="left" w:pos="2630"/>
          <w:tab w:val="center" w:pos="4752"/>
        </w:tabs>
        <w:jc w:val="center"/>
        <w:rPr>
          <w:b/>
        </w:rPr>
      </w:pPr>
      <w:r w:rsidRPr="00517E52">
        <w:rPr>
          <w:b/>
        </w:rPr>
        <w:t>APPENDIX II</w:t>
      </w:r>
    </w:p>
    <w:p w:rsidR="007275A7" w:rsidRPr="00517E52" w:rsidRDefault="007275A7" w:rsidP="007275A7">
      <w:pPr>
        <w:tabs>
          <w:tab w:val="left" w:pos="2630"/>
          <w:tab w:val="center" w:pos="4752"/>
        </w:tabs>
        <w:jc w:val="center"/>
        <w:rPr>
          <w:b/>
        </w:rPr>
      </w:pPr>
      <w:r w:rsidRPr="00517E52">
        <w:rPr>
          <w:b/>
        </w:rPr>
        <w:t>GBV PREVENTION MESSAGES</w:t>
      </w:r>
    </w:p>
    <w:p w:rsidR="007275A7" w:rsidRPr="00517E52" w:rsidRDefault="007275A7" w:rsidP="007275A7"/>
    <w:p w:rsidR="007275A7" w:rsidRPr="00517E52" w:rsidRDefault="007275A7" w:rsidP="007275A7">
      <w:pPr>
        <w:keepNext/>
        <w:rPr>
          <w:b/>
          <w:i/>
        </w:rPr>
      </w:pPr>
      <w:r w:rsidRPr="00517E52">
        <w:rPr>
          <w:b/>
          <w:i/>
        </w:rPr>
        <w:t>Promoting healthy relationships</w:t>
      </w:r>
    </w:p>
    <w:p w:rsidR="007275A7" w:rsidRPr="00517E52" w:rsidRDefault="007275A7" w:rsidP="007275A7">
      <w:r w:rsidRPr="00517E52">
        <w:t xml:space="preserve">The concept of healthy relationships uses the acronym </w:t>
      </w:r>
      <w:r w:rsidRPr="00517E52">
        <w:rPr>
          <w:b/>
        </w:rPr>
        <w:t>CARE: Communication, Appreciation, Respect and Equality</w:t>
      </w:r>
      <w:r w:rsidRPr="00517E52">
        <w:t xml:space="preserve">.  This is a strategy to create more equitable inter-personal relationships in which women and girls can exercise their human rights, including the right to a life free of violence.  It is intended to encourage men and women, especially young men and young women, to do the following: </w:t>
      </w:r>
    </w:p>
    <w:p w:rsidR="007275A7" w:rsidRPr="00517E52" w:rsidRDefault="007275A7" w:rsidP="007275A7">
      <w:pPr>
        <w:pStyle w:val="ListParagraph"/>
        <w:numPr>
          <w:ilvl w:val="0"/>
          <w:numId w:val="25"/>
        </w:numPr>
      </w:pPr>
      <w:r w:rsidRPr="00517E52">
        <w:t xml:space="preserve">examine their relationships against selected indicators to assess whether they are in or forming healthy relationships; </w:t>
      </w:r>
    </w:p>
    <w:p w:rsidR="007275A7" w:rsidRPr="00517E52" w:rsidRDefault="007275A7" w:rsidP="007275A7">
      <w:pPr>
        <w:pStyle w:val="ListParagraph"/>
        <w:numPr>
          <w:ilvl w:val="0"/>
          <w:numId w:val="25"/>
        </w:numPr>
      </w:pPr>
      <w:r w:rsidRPr="00517E52">
        <w:t xml:space="preserve">negotiate or form healthy relationships; </w:t>
      </w:r>
    </w:p>
    <w:p w:rsidR="007275A7" w:rsidRPr="00517E52" w:rsidRDefault="007275A7" w:rsidP="007275A7">
      <w:pPr>
        <w:pStyle w:val="ListParagraph"/>
        <w:numPr>
          <w:ilvl w:val="0"/>
          <w:numId w:val="25"/>
        </w:numPr>
      </w:pPr>
      <w:r w:rsidRPr="00517E52">
        <w:t xml:space="preserve">identify early signs of abusive relationships, and take steps to either correct or end them;  </w:t>
      </w:r>
    </w:p>
    <w:p w:rsidR="007275A7" w:rsidRPr="00517E52" w:rsidRDefault="007275A7" w:rsidP="007275A7"/>
    <w:p w:rsidR="007275A7" w:rsidRPr="00517E52" w:rsidRDefault="007275A7" w:rsidP="007275A7">
      <w:r w:rsidRPr="00517E52">
        <w:t xml:space="preserve">The messaging is directed at men’s and women’s treatment of each other as equal partners in a relationship that should be mutually rewarding.  This has been gaining momentum and it is drawing men into the discussion as partners, demonstrating that they too are beneficiaries of relationships in which </w:t>
      </w:r>
      <w:r w:rsidRPr="00517E52">
        <w:rPr>
          <w:b/>
        </w:rPr>
        <w:t>men CARE</w:t>
      </w:r>
      <w:r w:rsidRPr="00517E52">
        <w:t xml:space="preserve"> and </w:t>
      </w:r>
      <w:r w:rsidRPr="00517E52">
        <w:rPr>
          <w:b/>
        </w:rPr>
        <w:t>women CARE</w:t>
      </w:r>
      <w:r w:rsidRPr="00517E52">
        <w:t xml:space="preserve">.  </w:t>
      </w:r>
    </w:p>
    <w:p w:rsidR="007275A7" w:rsidRPr="00517E52" w:rsidRDefault="007275A7" w:rsidP="007275A7"/>
    <w:p w:rsidR="007275A7" w:rsidRPr="00517E52" w:rsidRDefault="007275A7" w:rsidP="007275A7">
      <w:r w:rsidRPr="00517E52">
        <w:t xml:space="preserve">While the main intention of the healthy relationships messaging is to promote more equitable relationships between intimate partners, its content is also generalized to other inter-personal relationships.  This approach promotes gender equality in general, and can have a positive impact on reducing violence against women in public spaces such as sexual harassment.  </w:t>
      </w:r>
    </w:p>
    <w:p w:rsidR="007275A7" w:rsidRPr="00517E52" w:rsidRDefault="007275A7" w:rsidP="007275A7"/>
    <w:p w:rsidR="007275A7" w:rsidRPr="00517E52" w:rsidRDefault="007275A7" w:rsidP="007275A7"/>
    <w:p w:rsidR="007275A7" w:rsidRPr="00517E52" w:rsidRDefault="007275A7" w:rsidP="007275A7">
      <w:pPr>
        <w:rPr>
          <w:b/>
          <w:i/>
        </w:rPr>
      </w:pPr>
      <w:r w:rsidRPr="00517E52">
        <w:rPr>
          <w:b/>
          <w:i/>
        </w:rPr>
        <w:t>Confronting myths, beliefs, and practices</w:t>
      </w:r>
    </w:p>
    <w:p w:rsidR="007275A7" w:rsidRPr="00517E52" w:rsidRDefault="007275A7" w:rsidP="007275A7">
      <w:r w:rsidRPr="00517E52">
        <w:t xml:space="preserve">A list of beliefs, myths and practices has been identified, including myths associated with religious faiths, especially the Bible, whether or not they were misinterpretations or doctrine impacting on women’s roles, men’s roles and tolerance of GBV in relationships.  The set of beliefs, myths and practices were examined further and two </w:t>
      </w:r>
      <w:r w:rsidRPr="00517E52">
        <w:rPr>
          <w:b/>
        </w:rPr>
        <w:t>underlying beliefs</w:t>
      </w:r>
      <w:r w:rsidRPr="00517E52">
        <w:t xml:space="preserve"> highlighted to be addressed.  Those are: </w:t>
      </w:r>
    </w:p>
    <w:p w:rsidR="007275A7" w:rsidRPr="00517E52" w:rsidRDefault="007275A7" w:rsidP="007275A7">
      <w:pPr>
        <w:pStyle w:val="ListParagraph"/>
        <w:numPr>
          <w:ilvl w:val="0"/>
          <w:numId w:val="26"/>
        </w:numPr>
        <w:ind w:left="360" w:hanging="180"/>
        <w:jc w:val="both"/>
        <w:rPr>
          <w:b/>
        </w:rPr>
      </w:pPr>
      <w:r w:rsidRPr="00517E52">
        <w:rPr>
          <w:b/>
        </w:rPr>
        <w:t xml:space="preserve">GBV, especially IPV, is a private matter, so others should not get involved. </w:t>
      </w:r>
    </w:p>
    <w:p w:rsidR="007275A7" w:rsidRPr="00517E52" w:rsidRDefault="007275A7" w:rsidP="007275A7">
      <w:pPr>
        <w:pStyle w:val="ListParagraph"/>
        <w:numPr>
          <w:ilvl w:val="0"/>
          <w:numId w:val="26"/>
        </w:numPr>
        <w:ind w:left="360" w:hanging="180"/>
        <w:jc w:val="both"/>
        <w:rPr>
          <w:b/>
        </w:rPr>
      </w:pPr>
      <w:r w:rsidRPr="00517E52">
        <w:rPr>
          <w:b/>
        </w:rPr>
        <w:t xml:space="preserve">Women are objects to be used for men’s pleasure and can be owned by men, or treated as property or things. </w:t>
      </w:r>
    </w:p>
    <w:p w:rsidR="007275A7" w:rsidRPr="00517E52" w:rsidRDefault="007275A7" w:rsidP="007275A7"/>
    <w:p w:rsidR="007275A7" w:rsidRPr="00517E52" w:rsidRDefault="007275A7" w:rsidP="007275A7">
      <w:r w:rsidRPr="00517E52">
        <w:t xml:space="preserve">The main </w:t>
      </w:r>
      <w:r w:rsidRPr="00517E52">
        <w:rPr>
          <w:b/>
        </w:rPr>
        <w:t>myths</w:t>
      </w:r>
      <w:r w:rsidRPr="00517E52">
        <w:t xml:space="preserve"> to be addressed are: </w:t>
      </w:r>
    </w:p>
    <w:p w:rsidR="007275A7" w:rsidRPr="00517E52" w:rsidRDefault="007275A7" w:rsidP="007275A7">
      <w:pPr>
        <w:pStyle w:val="ListParagraph"/>
        <w:numPr>
          <w:ilvl w:val="0"/>
          <w:numId w:val="26"/>
        </w:numPr>
        <w:ind w:left="360" w:hanging="180"/>
        <w:jc w:val="both"/>
        <w:rPr>
          <w:b/>
        </w:rPr>
      </w:pPr>
      <w:r w:rsidRPr="00517E52">
        <w:rPr>
          <w:b/>
        </w:rPr>
        <w:t xml:space="preserve">Men should be strong, macho and in-charge  </w:t>
      </w:r>
    </w:p>
    <w:p w:rsidR="007275A7" w:rsidRPr="00517E52" w:rsidRDefault="007275A7" w:rsidP="007275A7">
      <w:pPr>
        <w:pStyle w:val="ListParagraph"/>
        <w:numPr>
          <w:ilvl w:val="0"/>
          <w:numId w:val="26"/>
        </w:numPr>
        <w:ind w:left="360" w:hanging="180"/>
        <w:jc w:val="both"/>
        <w:rPr>
          <w:b/>
        </w:rPr>
      </w:pPr>
      <w:r w:rsidRPr="00517E52">
        <w:rPr>
          <w:b/>
        </w:rPr>
        <w:t xml:space="preserve">Perpetrators cannot control their actions </w:t>
      </w:r>
    </w:p>
    <w:p w:rsidR="007275A7" w:rsidRPr="00517E52" w:rsidRDefault="007275A7" w:rsidP="007275A7">
      <w:pPr>
        <w:pStyle w:val="ListParagraph"/>
        <w:numPr>
          <w:ilvl w:val="0"/>
          <w:numId w:val="26"/>
        </w:numPr>
        <w:ind w:left="360" w:hanging="180"/>
        <w:jc w:val="both"/>
        <w:rPr>
          <w:b/>
        </w:rPr>
      </w:pPr>
      <w:r w:rsidRPr="00517E52">
        <w:rPr>
          <w:b/>
        </w:rPr>
        <w:t>Victims cause intimate partner violence or sexual assault by their action/conduct/</w:t>
      </w:r>
      <w:proofErr w:type="spellStart"/>
      <w:r w:rsidRPr="00517E52">
        <w:rPr>
          <w:b/>
        </w:rPr>
        <w:t>behaviour</w:t>
      </w:r>
      <w:proofErr w:type="spellEnd"/>
      <w:r w:rsidRPr="00517E52">
        <w:rPr>
          <w:b/>
        </w:rPr>
        <w:t xml:space="preserve"> </w:t>
      </w:r>
    </w:p>
    <w:p w:rsidR="007275A7" w:rsidRPr="00517E52" w:rsidRDefault="007275A7" w:rsidP="007275A7">
      <w:pPr>
        <w:pStyle w:val="ListParagraph"/>
        <w:numPr>
          <w:ilvl w:val="0"/>
          <w:numId w:val="26"/>
        </w:numPr>
        <w:ind w:left="360" w:hanging="180"/>
        <w:jc w:val="both"/>
        <w:rPr>
          <w:b/>
        </w:rPr>
      </w:pPr>
      <w:r w:rsidRPr="00517E52">
        <w:rPr>
          <w:b/>
        </w:rPr>
        <w:t>Women falsely accuse men of rape, sexual assault and sexual harassment all the time.</w:t>
      </w:r>
    </w:p>
    <w:p w:rsidR="007275A7" w:rsidRPr="00517E52" w:rsidRDefault="007275A7" w:rsidP="007275A7"/>
    <w:p w:rsidR="007275A7" w:rsidRPr="00517E52" w:rsidRDefault="007275A7" w:rsidP="007275A7">
      <w:r w:rsidRPr="00517E52">
        <w:t xml:space="preserve">It is expected that once these myths are addressed, the impact will be felt on issues such as men’s use of violence against women and girls; stigma and discrimination against victims; shame and self blame by victims; offender accountability; </w:t>
      </w:r>
      <w:proofErr w:type="spellStart"/>
      <w:r w:rsidRPr="00517E52">
        <w:t>minimising</w:t>
      </w:r>
      <w:proofErr w:type="spellEnd"/>
      <w:r w:rsidRPr="00517E52">
        <w:t xml:space="preserve"> violence and under-reporting; and the culture of tolerance and silence. </w:t>
      </w:r>
    </w:p>
    <w:p w:rsidR="007275A7" w:rsidRPr="00517E52" w:rsidRDefault="007275A7" w:rsidP="007275A7">
      <w:r w:rsidRPr="00517E52">
        <w:br w:type="page"/>
      </w:r>
    </w:p>
    <w:p w:rsidR="007275A7" w:rsidRPr="00517E52" w:rsidRDefault="007275A7" w:rsidP="007275A7">
      <w:pPr>
        <w:tabs>
          <w:tab w:val="left" w:pos="2630"/>
          <w:tab w:val="center" w:pos="4752"/>
        </w:tabs>
        <w:jc w:val="center"/>
        <w:rPr>
          <w:b/>
        </w:rPr>
      </w:pPr>
      <w:r w:rsidRPr="00517E52">
        <w:rPr>
          <w:b/>
        </w:rPr>
        <w:t>APPENDIX III</w:t>
      </w:r>
    </w:p>
    <w:p w:rsidR="007275A7" w:rsidRPr="00517E52" w:rsidRDefault="007275A7" w:rsidP="007275A7">
      <w:pPr>
        <w:tabs>
          <w:tab w:val="left" w:pos="2630"/>
          <w:tab w:val="center" w:pos="4752"/>
        </w:tabs>
        <w:jc w:val="center"/>
        <w:rPr>
          <w:b/>
        </w:rPr>
      </w:pPr>
      <w:r w:rsidRPr="00517E52">
        <w:rPr>
          <w:b/>
        </w:rPr>
        <w:t>Summary – The National Strategic Action Plan to Reduce GBV</w:t>
      </w:r>
    </w:p>
    <w:p w:rsidR="007275A7" w:rsidRPr="00517E52" w:rsidRDefault="007275A7" w:rsidP="007275A7"/>
    <w:p w:rsidR="007275A7" w:rsidRPr="00517E52" w:rsidRDefault="007275A7" w:rsidP="007275A7">
      <w:pPr>
        <w:rPr>
          <w:b/>
        </w:rPr>
      </w:pPr>
      <w:bookmarkStart w:id="3" w:name="_Toc362085570"/>
      <w:r w:rsidRPr="00517E52">
        <w:rPr>
          <w:b/>
        </w:rPr>
        <w:t>STRATEGIC ISSUES</w:t>
      </w:r>
      <w:bookmarkEnd w:id="3"/>
    </w:p>
    <w:p w:rsidR="007275A7" w:rsidRPr="00517E52" w:rsidRDefault="007275A7" w:rsidP="007275A7">
      <w:pPr>
        <w:rPr>
          <w:bCs/>
        </w:rPr>
      </w:pPr>
      <w:r w:rsidRPr="00517E52">
        <w:rPr>
          <w:bCs/>
        </w:rPr>
        <w:t xml:space="preserve">Having completed a situational analysis of gender based violence (GBV) in Grenada, it was </w:t>
      </w:r>
      <w:proofErr w:type="spellStart"/>
      <w:r w:rsidRPr="00517E52">
        <w:rPr>
          <w:bCs/>
        </w:rPr>
        <w:t>recognised</w:t>
      </w:r>
      <w:proofErr w:type="spellEnd"/>
      <w:r w:rsidRPr="00517E52">
        <w:rPr>
          <w:bCs/>
        </w:rPr>
        <w:t xml:space="preserve"> that </w:t>
      </w:r>
      <w:r w:rsidRPr="00517E52">
        <w:t>it would be necessary</w:t>
      </w:r>
      <w:r w:rsidRPr="00517E52">
        <w:rPr>
          <w:bCs/>
        </w:rPr>
        <w:t xml:space="preserve"> to</w:t>
      </w:r>
      <w:r w:rsidRPr="00517E52">
        <w:t xml:space="preserve"> implement the Plan with the aim of providing strategic direction to reduce the incidence of all forms of gender-based violence in Grenada by</w:t>
      </w:r>
      <w:r w:rsidRPr="00517E52">
        <w:rPr>
          <w:bCs/>
        </w:rPr>
        <w:t xml:space="preserve">: </w:t>
      </w:r>
    </w:p>
    <w:p w:rsidR="007275A7" w:rsidRPr="00517E52" w:rsidRDefault="007275A7" w:rsidP="007275A7">
      <w:pPr>
        <w:pStyle w:val="ListParagraph"/>
        <w:numPr>
          <w:ilvl w:val="0"/>
          <w:numId w:val="33"/>
        </w:numPr>
        <w:contextualSpacing w:val="0"/>
        <w:jc w:val="both"/>
        <w:rPr>
          <w:bCs/>
        </w:rPr>
      </w:pPr>
      <w:r w:rsidRPr="00517E52">
        <w:rPr>
          <w:bCs/>
        </w:rPr>
        <w:t xml:space="preserve">identifying, protecting and supporting victims as they move from being disempowered to becoming survivors who are empowered to make decisions and take actions in their best interests;  </w:t>
      </w:r>
    </w:p>
    <w:p w:rsidR="007275A7" w:rsidRPr="00517E52" w:rsidRDefault="007275A7" w:rsidP="007275A7">
      <w:pPr>
        <w:pStyle w:val="ListParagraph"/>
        <w:numPr>
          <w:ilvl w:val="0"/>
          <w:numId w:val="33"/>
        </w:numPr>
        <w:contextualSpacing w:val="0"/>
        <w:jc w:val="both"/>
        <w:rPr>
          <w:bCs/>
        </w:rPr>
      </w:pPr>
      <w:r w:rsidRPr="00517E52">
        <w:rPr>
          <w:bCs/>
        </w:rPr>
        <w:t xml:space="preserve">identifying, punishing and rehabilitating perpetrators to reduce offending and re-offending, whether with current or potential victims; </w:t>
      </w:r>
    </w:p>
    <w:p w:rsidR="007275A7" w:rsidRPr="00517E52" w:rsidRDefault="007275A7" w:rsidP="007275A7">
      <w:pPr>
        <w:pStyle w:val="ListParagraph"/>
        <w:numPr>
          <w:ilvl w:val="0"/>
          <w:numId w:val="33"/>
        </w:numPr>
        <w:contextualSpacing w:val="0"/>
        <w:jc w:val="both"/>
        <w:rPr>
          <w:bCs/>
        </w:rPr>
      </w:pPr>
      <w:r w:rsidRPr="00517E52">
        <w:rPr>
          <w:bCs/>
        </w:rPr>
        <w:t xml:space="preserve">promoting healthy intimate relationships and early intervention to reduce inequalities and other factors that enable the occurrence of GBV; </w:t>
      </w:r>
    </w:p>
    <w:p w:rsidR="007275A7" w:rsidRPr="00517E52" w:rsidRDefault="007275A7" w:rsidP="007275A7">
      <w:pPr>
        <w:pStyle w:val="ListParagraph"/>
        <w:numPr>
          <w:ilvl w:val="0"/>
          <w:numId w:val="33"/>
        </w:numPr>
        <w:contextualSpacing w:val="0"/>
        <w:jc w:val="both"/>
        <w:rPr>
          <w:bCs/>
        </w:rPr>
      </w:pPr>
      <w:r w:rsidRPr="00517E52">
        <w:rPr>
          <w:bCs/>
        </w:rPr>
        <w:t xml:space="preserve">creating an environment of zero-tolerance to gender-based violence at the institutional, community and personal levels;  </w:t>
      </w:r>
    </w:p>
    <w:p w:rsidR="007275A7" w:rsidRPr="00517E52" w:rsidRDefault="007275A7" w:rsidP="007275A7">
      <w:pPr>
        <w:autoSpaceDE w:val="0"/>
        <w:autoSpaceDN w:val="0"/>
        <w:adjustRightInd w:val="0"/>
      </w:pPr>
    </w:p>
    <w:p w:rsidR="007275A7" w:rsidRPr="00517E52" w:rsidRDefault="007275A7" w:rsidP="007275A7">
      <w:pPr>
        <w:rPr>
          <w:b/>
        </w:rPr>
      </w:pPr>
      <w:bookmarkStart w:id="4" w:name="_Toc362085574"/>
      <w:r w:rsidRPr="00517E52">
        <w:rPr>
          <w:b/>
        </w:rPr>
        <w:t>VISION STATEMENT</w:t>
      </w:r>
      <w:bookmarkEnd w:id="4"/>
      <w:r w:rsidRPr="00517E52">
        <w:rPr>
          <w:b/>
        </w:rPr>
        <w:t xml:space="preserve"> </w:t>
      </w:r>
    </w:p>
    <w:p w:rsidR="007275A7" w:rsidRPr="00517E52" w:rsidRDefault="007275A7" w:rsidP="007275A7">
      <w:pPr>
        <w:autoSpaceDE w:val="0"/>
        <w:autoSpaceDN w:val="0"/>
        <w:adjustRightInd w:val="0"/>
      </w:pPr>
      <w:r w:rsidRPr="00517E52">
        <w:t xml:space="preserve">A society in which all persons, from all social and economic backgrounds and communities, have equal opportunities to enjoy lives free from all forms of GBV.   </w:t>
      </w:r>
    </w:p>
    <w:p w:rsidR="007275A7" w:rsidRPr="00517E52" w:rsidRDefault="007275A7" w:rsidP="007275A7">
      <w:bookmarkStart w:id="5" w:name="_Toc332861369"/>
      <w:bookmarkStart w:id="6" w:name="_Toc362085575"/>
      <w:bookmarkStart w:id="7" w:name="_Toc306097741"/>
      <w:bookmarkStart w:id="8" w:name="_Toc316566051"/>
      <w:bookmarkStart w:id="9" w:name="_Toc316567613"/>
      <w:bookmarkStart w:id="10" w:name="_Toc316568383"/>
      <w:bookmarkStart w:id="11" w:name="_Toc316570142"/>
    </w:p>
    <w:p w:rsidR="007275A7" w:rsidRPr="00517E52" w:rsidRDefault="007275A7" w:rsidP="007275A7">
      <w:pPr>
        <w:rPr>
          <w:b/>
        </w:rPr>
      </w:pPr>
      <w:r w:rsidRPr="00517E52">
        <w:rPr>
          <w:b/>
        </w:rPr>
        <w:t>STRATEGIC GOALS OF THE PLAN</w:t>
      </w:r>
      <w:bookmarkEnd w:id="5"/>
      <w:bookmarkEnd w:id="6"/>
      <w:r w:rsidRPr="00517E52">
        <w:rPr>
          <w:b/>
        </w:rPr>
        <w:t xml:space="preserve"> </w:t>
      </w:r>
      <w:bookmarkEnd w:id="7"/>
      <w:bookmarkEnd w:id="8"/>
      <w:bookmarkEnd w:id="9"/>
      <w:bookmarkEnd w:id="10"/>
      <w:bookmarkEnd w:id="11"/>
    </w:p>
    <w:p w:rsidR="007275A7" w:rsidRPr="00517E52" w:rsidRDefault="007275A7" w:rsidP="007275A7">
      <w:pPr>
        <w:pStyle w:val="ListParagraph"/>
        <w:numPr>
          <w:ilvl w:val="0"/>
          <w:numId w:val="35"/>
        </w:numPr>
        <w:ind w:left="720" w:hanging="540"/>
        <w:contextualSpacing w:val="0"/>
        <w:jc w:val="both"/>
      </w:pPr>
      <w:r w:rsidRPr="00517E52">
        <w:t xml:space="preserve">To determine and monitor the extent of the problem of GBV in the Grenadian society and respond effectively. </w:t>
      </w:r>
    </w:p>
    <w:p w:rsidR="007275A7" w:rsidRPr="00517E52" w:rsidRDefault="007275A7" w:rsidP="007275A7">
      <w:pPr>
        <w:pStyle w:val="ListParagraph"/>
        <w:numPr>
          <w:ilvl w:val="0"/>
          <w:numId w:val="35"/>
        </w:numPr>
        <w:ind w:left="720" w:hanging="540"/>
        <w:contextualSpacing w:val="0"/>
        <w:jc w:val="both"/>
      </w:pPr>
      <w:r w:rsidRPr="00517E52">
        <w:t xml:space="preserve">To facilitate an assessment of the existing infrastructure and related needs required to implement strategies to address GBV. </w:t>
      </w:r>
    </w:p>
    <w:p w:rsidR="007275A7" w:rsidRPr="00517E52" w:rsidRDefault="007275A7" w:rsidP="007275A7">
      <w:pPr>
        <w:pStyle w:val="ListParagraph"/>
        <w:numPr>
          <w:ilvl w:val="0"/>
          <w:numId w:val="35"/>
        </w:numPr>
        <w:ind w:left="720" w:hanging="540"/>
        <w:contextualSpacing w:val="0"/>
        <w:jc w:val="both"/>
      </w:pPr>
      <w:r w:rsidRPr="00517E52">
        <w:t xml:space="preserve">To ensure the enhancement of the capacity of the relevant lead agency. </w:t>
      </w:r>
    </w:p>
    <w:p w:rsidR="007275A7" w:rsidRPr="00517E52" w:rsidRDefault="007275A7" w:rsidP="007275A7">
      <w:pPr>
        <w:pStyle w:val="ListParagraph"/>
        <w:numPr>
          <w:ilvl w:val="0"/>
          <w:numId w:val="35"/>
        </w:numPr>
        <w:ind w:left="720" w:hanging="540"/>
        <w:contextualSpacing w:val="0"/>
        <w:jc w:val="both"/>
      </w:pPr>
      <w:r w:rsidRPr="00517E52">
        <w:t xml:space="preserve">To improve the competency and preparedness of all responders for an excellent and effective delivery of services to persons at risk, who are being abused, or are in need of punishment and/or rehabilitation;  </w:t>
      </w:r>
    </w:p>
    <w:p w:rsidR="007275A7" w:rsidRPr="00517E52" w:rsidRDefault="007275A7" w:rsidP="007275A7">
      <w:pPr>
        <w:pStyle w:val="ListParagraph"/>
        <w:numPr>
          <w:ilvl w:val="0"/>
          <w:numId w:val="35"/>
        </w:numPr>
        <w:ind w:left="720" w:hanging="540"/>
        <w:contextualSpacing w:val="0"/>
        <w:jc w:val="both"/>
      </w:pPr>
      <w:r w:rsidRPr="00517E52">
        <w:t xml:space="preserve">To provide holistic national </w:t>
      </w:r>
      <w:proofErr w:type="spellStart"/>
      <w:r w:rsidRPr="00517E52">
        <w:t>sensitisation</w:t>
      </w:r>
      <w:proofErr w:type="spellEnd"/>
      <w:r w:rsidRPr="00517E52">
        <w:t xml:space="preserve">, awareness and educational </w:t>
      </w:r>
      <w:proofErr w:type="spellStart"/>
      <w:r w:rsidRPr="00517E52">
        <w:t>programmes</w:t>
      </w:r>
      <w:proofErr w:type="spellEnd"/>
      <w:r w:rsidRPr="00517E52">
        <w:t xml:space="preserve">;  </w:t>
      </w:r>
    </w:p>
    <w:p w:rsidR="007275A7" w:rsidRPr="00517E52" w:rsidRDefault="007275A7" w:rsidP="007275A7">
      <w:pPr>
        <w:pStyle w:val="ListParagraph"/>
        <w:numPr>
          <w:ilvl w:val="0"/>
          <w:numId w:val="35"/>
        </w:numPr>
        <w:ind w:left="720" w:hanging="540"/>
        <w:contextualSpacing w:val="0"/>
        <w:jc w:val="both"/>
      </w:pPr>
      <w:r w:rsidRPr="00517E52">
        <w:t xml:space="preserve">To identify and work with ‘persons at risk’ of becoming victims or offenders; particularly in rural, urban and closed communities; and women, men, youth and children.   </w:t>
      </w:r>
      <w:r w:rsidRPr="00517E52">
        <w:tab/>
      </w:r>
    </w:p>
    <w:p w:rsidR="007275A7" w:rsidRPr="00517E52" w:rsidRDefault="007275A7" w:rsidP="007275A7">
      <w:pPr>
        <w:pStyle w:val="ListParagraph"/>
        <w:numPr>
          <w:ilvl w:val="0"/>
          <w:numId w:val="35"/>
        </w:numPr>
        <w:ind w:left="720" w:hanging="540"/>
        <w:contextualSpacing w:val="0"/>
        <w:jc w:val="both"/>
      </w:pPr>
      <w:r w:rsidRPr="00517E52">
        <w:t xml:space="preserve">To protect potential and actual victims and </w:t>
      </w:r>
      <w:proofErr w:type="spellStart"/>
      <w:r w:rsidRPr="00517E52">
        <w:t>realising</w:t>
      </w:r>
      <w:proofErr w:type="spellEnd"/>
      <w:r w:rsidRPr="00517E52">
        <w:t xml:space="preserve"> holistic victim support;  </w:t>
      </w:r>
    </w:p>
    <w:p w:rsidR="007275A7" w:rsidRPr="00517E52" w:rsidRDefault="007275A7" w:rsidP="007275A7">
      <w:pPr>
        <w:pStyle w:val="ListParagraph"/>
        <w:numPr>
          <w:ilvl w:val="0"/>
          <w:numId w:val="35"/>
        </w:numPr>
        <w:ind w:left="720" w:hanging="540"/>
        <w:contextualSpacing w:val="0"/>
        <w:jc w:val="both"/>
      </w:pPr>
      <w:r w:rsidRPr="00517E52">
        <w:t xml:space="preserve">To prevent offending and re-offending by persons disposed to GBV;  </w:t>
      </w:r>
    </w:p>
    <w:p w:rsidR="007275A7" w:rsidRPr="00517E52" w:rsidRDefault="007275A7" w:rsidP="007275A7">
      <w:pPr>
        <w:pStyle w:val="ListParagraph"/>
        <w:numPr>
          <w:ilvl w:val="0"/>
          <w:numId w:val="35"/>
        </w:numPr>
        <w:ind w:left="720" w:hanging="540"/>
        <w:contextualSpacing w:val="0"/>
        <w:jc w:val="both"/>
      </w:pPr>
      <w:r w:rsidRPr="00517E52">
        <w:t xml:space="preserve">To ensure monitoring and continuous evaluation of the implementation of the Plan; </w:t>
      </w:r>
    </w:p>
    <w:p w:rsidR="007275A7" w:rsidRPr="00517E52" w:rsidRDefault="007275A7" w:rsidP="007275A7">
      <w:pPr>
        <w:pStyle w:val="Heading2"/>
        <w:spacing w:before="0" w:line="240" w:lineRule="auto"/>
        <w:rPr>
          <w:rFonts w:ascii="Times New Roman" w:hAnsi="Times New Roman" w:cs="Times New Roman"/>
          <w:color w:val="auto"/>
          <w:sz w:val="24"/>
          <w:szCs w:val="24"/>
        </w:rPr>
      </w:pPr>
    </w:p>
    <w:p w:rsidR="007275A7" w:rsidRPr="00517E52" w:rsidRDefault="007275A7" w:rsidP="007275A7"/>
    <w:p w:rsidR="007275A7" w:rsidRPr="00517E52" w:rsidRDefault="007275A7" w:rsidP="007275A7">
      <w:pPr>
        <w:rPr>
          <w:b/>
        </w:rPr>
      </w:pPr>
      <w:r w:rsidRPr="00517E52">
        <w:rPr>
          <w:b/>
        </w:rPr>
        <w:t>LIST OF STRATEGIES</w:t>
      </w:r>
    </w:p>
    <w:p w:rsidR="007275A7" w:rsidRPr="00517E52" w:rsidRDefault="007275A7" w:rsidP="007275A7">
      <w:pPr>
        <w:pStyle w:val="ListParagraph"/>
        <w:numPr>
          <w:ilvl w:val="0"/>
          <w:numId w:val="34"/>
        </w:numPr>
        <w:ind w:left="720" w:hanging="540"/>
        <w:contextualSpacing w:val="0"/>
        <w:jc w:val="both"/>
      </w:pPr>
      <w:bookmarkStart w:id="12" w:name="_Toc316570146"/>
      <w:bookmarkStart w:id="13" w:name="_Toc316568387"/>
      <w:bookmarkStart w:id="14" w:name="_Toc316567617"/>
      <w:bookmarkStart w:id="15" w:name="_Toc316566055"/>
      <w:bookmarkStart w:id="16" w:name="_Toc332861374"/>
      <w:r w:rsidRPr="00517E52">
        <w:t>Social Examination of G</w:t>
      </w:r>
      <w:bookmarkEnd w:id="12"/>
      <w:bookmarkEnd w:id="13"/>
      <w:bookmarkEnd w:id="14"/>
      <w:bookmarkEnd w:id="15"/>
      <w:r w:rsidRPr="00517E52">
        <w:t>BV</w:t>
      </w:r>
      <w:bookmarkEnd w:id="16"/>
    </w:p>
    <w:p w:rsidR="007275A7" w:rsidRPr="00517E52" w:rsidRDefault="007275A7" w:rsidP="007275A7">
      <w:pPr>
        <w:pStyle w:val="ListParagraph"/>
        <w:numPr>
          <w:ilvl w:val="0"/>
          <w:numId w:val="34"/>
        </w:numPr>
        <w:ind w:left="720" w:hanging="540"/>
        <w:contextualSpacing w:val="0"/>
        <w:jc w:val="both"/>
      </w:pPr>
      <w:r w:rsidRPr="00517E52">
        <w:t>Enhancing the Capacity of the Lead Agent - the Ministry of Social Development</w:t>
      </w:r>
    </w:p>
    <w:p w:rsidR="007275A7" w:rsidRPr="00517E52" w:rsidRDefault="007275A7" w:rsidP="007275A7">
      <w:pPr>
        <w:pStyle w:val="ListParagraph"/>
        <w:numPr>
          <w:ilvl w:val="0"/>
          <w:numId w:val="34"/>
        </w:numPr>
        <w:ind w:left="720" w:hanging="540"/>
        <w:contextualSpacing w:val="0"/>
        <w:jc w:val="both"/>
      </w:pPr>
      <w:bookmarkStart w:id="17" w:name="_Toc332861376"/>
      <w:r w:rsidRPr="00517E52">
        <w:lastRenderedPageBreak/>
        <w:t xml:space="preserve">Development of a Multi-Agency Approach </w:t>
      </w:r>
      <w:bookmarkEnd w:id="17"/>
    </w:p>
    <w:p w:rsidR="007275A7" w:rsidRPr="00517E52" w:rsidRDefault="007275A7" w:rsidP="007275A7">
      <w:pPr>
        <w:pStyle w:val="ListParagraph"/>
        <w:numPr>
          <w:ilvl w:val="0"/>
          <w:numId w:val="34"/>
        </w:numPr>
        <w:ind w:left="720" w:hanging="540"/>
        <w:contextualSpacing w:val="0"/>
        <w:jc w:val="both"/>
      </w:pPr>
      <w:proofErr w:type="spellStart"/>
      <w:r w:rsidRPr="00517E52">
        <w:t>Sensitisation</w:t>
      </w:r>
      <w:proofErr w:type="spellEnd"/>
      <w:r w:rsidRPr="00517E52">
        <w:t>, Training and Support for Responders in Stakeholder Entities</w:t>
      </w:r>
    </w:p>
    <w:p w:rsidR="007275A7" w:rsidRPr="00517E52" w:rsidRDefault="007275A7" w:rsidP="007275A7">
      <w:pPr>
        <w:pStyle w:val="ListParagraph"/>
        <w:numPr>
          <w:ilvl w:val="0"/>
          <w:numId w:val="34"/>
        </w:numPr>
        <w:ind w:left="720" w:hanging="540"/>
        <w:contextualSpacing w:val="0"/>
        <w:jc w:val="both"/>
      </w:pPr>
      <w:r w:rsidRPr="00517E52">
        <w:t xml:space="preserve">Ensuring Adequate Legal Responses, Law Enforcement, and Rehabilitation of Perpetrators </w:t>
      </w:r>
    </w:p>
    <w:p w:rsidR="007275A7" w:rsidRPr="00517E52" w:rsidRDefault="007275A7" w:rsidP="007275A7">
      <w:pPr>
        <w:pStyle w:val="ListParagraph"/>
        <w:numPr>
          <w:ilvl w:val="0"/>
          <w:numId w:val="34"/>
        </w:numPr>
        <w:ind w:left="720" w:hanging="540"/>
        <w:contextualSpacing w:val="0"/>
        <w:jc w:val="both"/>
      </w:pPr>
      <w:r w:rsidRPr="00517E52">
        <w:t>Improving and Providing Adequate Medical Responses</w:t>
      </w:r>
    </w:p>
    <w:p w:rsidR="007275A7" w:rsidRPr="00517E52" w:rsidRDefault="007275A7" w:rsidP="007275A7">
      <w:pPr>
        <w:pStyle w:val="ListParagraph"/>
        <w:numPr>
          <w:ilvl w:val="0"/>
          <w:numId w:val="34"/>
        </w:numPr>
        <w:ind w:left="720" w:hanging="540"/>
        <w:contextualSpacing w:val="0"/>
        <w:jc w:val="both"/>
      </w:pPr>
      <w:r w:rsidRPr="00517E52">
        <w:t>Engaging the Education Sector for Educational Programming</w:t>
      </w:r>
    </w:p>
    <w:p w:rsidR="007275A7" w:rsidRPr="00517E52" w:rsidRDefault="007275A7" w:rsidP="007275A7">
      <w:pPr>
        <w:pStyle w:val="ListParagraph"/>
        <w:numPr>
          <w:ilvl w:val="0"/>
          <w:numId w:val="34"/>
        </w:numPr>
        <w:ind w:left="720" w:hanging="540"/>
        <w:contextualSpacing w:val="0"/>
        <w:jc w:val="both"/>
      </w:pPr>
      <w:r w:rsidRPr="00517E52">
        <w:t xml:space="preserve">Communication for Public Education and </w:t>
      </w:r>
      <w:proofErr w:type="spellStart"/>
      <w:r w:rsidRPr="00517E52">
        <w:t>Sensitisation</w:t>
      </w:r>
      <w:proofErr w:type="spellEnd"/>
      <w:r w:rsidRPr="00517E52">
        <w:t xml:space="preserve"> </w:t>
      </w:r>
    </w:p>
    <w:p w:rsidR="007275A7" w:rsidRPr="00517E52" w:rsidRDefault="007275A7" w:rsidP="007275A7">
      <w:pPr>
        <w:pStyle w:val="ListParagraph"/>
        <w:numPr>
          <w:ilvl w:val="0"/>
          <w:numId w:val="34"/>
        </w:numPr>
        <w:ind w:left="720" w:hanging="540"/>
        <w:contextualSpacing w:val="0"/>
        <w:jc w:val="both"/>
      </w:pPr>
      <w:r w:rsidRPr="00517E52">
        <w:t xml:space="preserve">Community </w:t>
      </w:r>
      <w:proofErr w:type="spellStart"/>
      <w:r w:rsidRPr="00517E52">
        <w:t>Mobilisation</w:t>
      </w:r>
      <w:proofErr w:type="spellEnd"/>
      <w:r w:rsidRPr="00517E52">
        <w:t xml:space="preserve"> and Outreach</w:t>
      </w:r>
    </w:p>
    <w:p w:rsidR="007275A7" w:rsidRPr="00517E52" w:rsidRDefault="007275A7" w:rsidP="007275A7">
      <w:pPr>
        <w:pStyle w:val="ListParagraph"/>
        <w:numPr>
          <w:ilvl w:val="0"/>
          <w:numId w:val="34"/>
        </w:numPr>
        <w:ind w:left="720" w:hanging="540"/>
        <w:contextualSpacing w:val="0"/>
        <w:jc w:val="both"/>
      </w:pPr>
      <w:r w:rsidRPr="00517E52">
        <w:t xml:space="preserve">Providing Immediate to Long Term Support to Victims, Witnesses and Their Families </w:t>
      </w:r>
    </w:p>
    <w:p w:rsidR="007275A7" w:rsidRPr="00517E52" w:rsidRDefault="007275A7" w:rsidP="007275A7">
      <w:pPr>
        <w:autoSpaceDE w:val="0"/>
        <w:autoSpaceDN w:val="0"/>
        <w:adjustRightInd w:val="0"/>
        <w:outlineLvl w:val="2"/>
        <w:rPr>
          <w:b/>
          <w:bCs/>
          <w:iCs/>
        </w:rPr>
      </w:pPr>
    </w:p>
    <w:p w:rsidR="007275A7" w:rsidRPr="00517E52" w:rsidRDefault="007275A7" w:rsidP="007275A7">
      <w:pPr>
        <w:rPr>
          <w:b/>
        </w:rPr>
      </w:pPr>
      <w:bookmarkStart w:id="18" w:name="_Toc332861371"/>
      <w:bookmarkStart w:id="19" w:name="_Toc362085577"/>
      <w:r w:rsidRPr="00517E52">
        <w:rPr>
          <w:b/>
        </w:rPr>
        <w:t>CROSS-CUTTING APPROACHES</w:t>
      </w:r>
      <w:bookmarkEnd w:id="18"/>
      <w:bookmarkEnd w:id="19"/>
      <w:r w:rsidRPr="00517E52">
        <w:rPr>
          <w:b/>
        </w:rPr>
        <w:t xml:space="preserve"> </w:t>
      </w:r>
    </w:p>
    <w:p w:rsidR="007275A7" w:rsidRPr="00517E52" w:rsidRDefault="007275A7" w:rsidP="007275A7">
      <w:pPr>
        <w:pStyle w:val="ListParagraph"/>
        <w:numPr>
          <w:ilvl w:val="0"/>
          <w:numId w:val="32"/>
        </w:numPr>
        <w:autoSpaceDE w:val="0"/>
        <w:autoSpaceDN w:val="0"/>
        <w:adjustRightInd w:val="0"/>
        <w:contextualSpacing w:val="0"/>
        <w:jc w:val="both"/>
        <w:rPr>
          <w:bCs/>
        </w:rPr>
      </w:pPr>
      <w:r w:rsidRPr="00517E52">
        <w:t xml:space="preserve">The Plan will be implemented using a principle-based approach.  The core guiding principles would be human rights and gender equality.  This approach will be adopted to inform the implementation of this Plan and guide the work of the MACE and stakeholders in responding to GBV. </w:t>
      </w:r>
    </w:p>
    <w:p w:rsidR="007275A7" w:rsidRPr="00517E52" w:rsidRDefault="007275A7" w:rsidP="007275A7">
      <w:pPr>
        <w:autoSpaceDE w:val="0"/>
        <w:autoSpaceDN w:val="0"/>
        <w:adjustRightInd w:val="0"/>
        <w:rPr>
          <w:bCs/>
          <w:highlight w:val="yellow"/>
        </w:rPr>
      </w:pPr>
    </w:p>
    <w:p w:rsidR="007275A7" w:rsidRPr="00517E52" w:rsidRDefault="007275A7" w:rsidP="007275A7">
      <w:pPr>
        <w:numPr>
          <w:ilvl w:val="0"/>
          <w:numId w:val="32"/>
        </w:numPr>
        <w:autoSpaceDE w:val="0"/>
        <w:autoSpaceDN w:val="0"/>
        <w:adjustRightInd w:val="0"/>
        <w:jc w:val="both"/>
        <w:rPr>
          <w:bCs/>
        </w:rPr>
      </w:pPr>
      <w:r w:rsidRPr="00517E52">
        <w:t xml:space="preserve">Service providers would use a collaborative approach as promoted by international best practices which encourage government, civil society and community groups to work together.  </w:t>
      </w:r>
    </w:p>
    <w:p w:rsidR="007275A7" w:rsidRPr="00517E52" w:rsidRDefault="007275A7" w:rsidP="007275A7">
      <w:pPr>
        <w:autoSpaceDE w:val="0"/>
        <w:autoSpaceDN w:val="0"/>
        <w:adjustRightInd w:val="0"/>
        <w:rPr>
          <w:bCs/>
        </w:rPr>
      </w:pPr>
    </w:p>
    <w:p w:rsidR="007275A7" w:rsidRPr="00517E52" w:rsidRDefault="007275A7" w:rsidP="007275A7">
      <w:pPr>
        <w:numPr>
          <w:ilvl w:val="0"/>
          <w:numId w:val="32"/>
        </w:numPr>
        <w:autoSpaceDE w:val="0"/>
        <w:autoSpaceDN w:val="0"/>
        <w:adjustRightInd w:val="0"/>
        <w:jc w:val="both"/>
      </w:pPr>
      <w:r w:rsidRPr="00517E52">
        <w:t xml:space="preserve">The Plan would be implemented using a holistic approach, providing a comprehensive response with various strategies being acted upon alongside each other.  </w:t>
      </w:r>
    </w:p>
    <w:p w:rsidR="007275A7" w:rsidRPr="00517E52" w:rsidRDefault="007275A7" w:rsidP="007275A7"/>
    <w:p w:rsidR="007275A7" w:rsidRPr="00517E52" w:rsidRDefault="007275A7" w:rsidP="007275A7">
      <w:pPr>
        <w:rPr>
          <w:b/>
        </w:rPr>
      </w:pPr>
      <w:r w:rsidRPr="00517E52">
        <w:rPr>
          <w:b/>
        </w:rPr>
        <w:t>ROLES OF STAKEHOLDERS</w:t>
      </w:r>
    </w:p>
    <w:p w:rsidR="007275A7" w:rsidRPr="00517E52" w:rsidRDefault="007275A7" w:rsidP="007275A7">
      <w:pPr>
        <w:rPr>
          <w:bCs/>
        </w:rPr>
      </w:pPr>
      <w:r w:rsidRPr="00517E52">
        <w:rPr>
          <w:bCs/>
        </w:rPr>
        <w:t xml:space="preserve">The Government </w:t>
      </w:r>
      <w:proofErr w:type="spellStart"/>
      <w:r w:rsidRPr="00517E52">
        <w:rPr>
          <w:bCs/>
        </w:rPr>
        <w:t>recognises</w:t>
      </w:r>
      <w:proofErr w:type="spellEnd"/>
      <w:r w:rsidRPr="00517E52">
        <w:rPr>
          <w:bCs/>
        </w:rPr>
        <w:t xml:space="preserve"> that different Stakeholder Agencies have different roles, but by working collaboratively, they would provide holistic services.  The key functions for the main stakeholders are as follows:   </w:t>
      </w:r>
    </w:p>
    <w:p w:rsidR="007275A7" w:rsidRPr="00517E52" w:rsidRDefault="007275A7" w:rsidP="007275A7">
      <w:pPr>
        <w:rPr>
          <w:bCs/>
        </w:rPr>
      </w:pPr>
    </w:p>
    <w:tbl>
      <w:tblPr>
        <w:tblW w:w="9845" w:type="dxa"/>
        <w:jc w:val="center"/>
        <w:tblBorders>
          <w:bottom w:val="single" w:sz="4" w:space="0" w:color="auto"/>
          <w:insideH w:val="single" w:sz="4" w:space="0" w:color="auto"/>
        </w:tblBorders>
        <w:tblLook w:val="04A0"/>
      </w:tblPr>
      <w:tblGrid>
        <w:gridCol w:w="3906"/>
        <w:gridCol w:w="5939"/>
      </w:tblGrid>
      <w:tr w:rsidR="007275A7" w:rsidRPr="00517E52" w:rsidTr="007275A7">
        <w:trPr>
          <w:trHeight w:val="84"/>
          <w:jc w:val="center"/>
        </w:trPr>
        <w:tc>
          <w:tcPr>
            <w:tcW w:w="3906" w:type="dxa"/>
            <w:tcMar>
              <w:top w:w="58" w:type="dxa"/>
              <w:left w:w="115" w:type="dxa"/>
              <w:bottom w:w="29" w:type="dxa"/>
              <w:right w:w="115" w:type="dxa"/>
            </w:tcMar>
            <w:vAlign w:val="center"/>
          </w:tcPr>
          <w:p w:rsidR="007275A7" w:rsidRPr="007275A7" w:rsidRDefault="007275A7" w:rsidP="007275A7">
            <w:pPr>
              <w:jc w:val="center"/>
              <w:rPr>
                <w:b/>
                <w:bCs/>
              </w:rPr>
            </w:pPr>
            <w:r w:rsidRPr="007275A7">
              <w:rPr>
                <w:b/>
                <w:bCs/>
              </w:rPr>
              <w:t>STAKEHOLDER AGENCY</w:t>
            </w:r>
          </w:p>
        </w:tc>
        <w:tc>
          <w:tcPr>
            <w:tcW w:w="5939" w:type="dxa"/>
            <w:tcMar>
              <w:top w:w="58" w:type="dxa"/>
              <w:left w:w="115" w:type="dxa"/>
              <w:right w:w="115" w:type="dxa"/>
            </w:tcMar>
            <w:vAlign w:val="center"/>
          </w:tcPr>
          <w:p w:rsidR="007275A7" w:rsidRPr="007275A7" w:rsidRDefault="007275A7" w:rsidP="007275A7">
            <w:pPr>
              <w:jc w:val="center"/>
              <w:rPr>
                <w:b/>
                <w:bCs/>
              </w:rPr>
            </w:pPr>
            <w:r w:rsidRPr="007275A7">
              <w:rPr>
                <w:b/>
                <w:bCs/>
              </w:rPr>
              <w:t>KEY ROLES</w:t>
            </w:r>
          </w:p>
        </w:tc>
      </w:tr>
      <w:tr w:rsidR="007275A7" w:rsidRPr="00517E52" w:rsidTr="007275A7">
        <w:trPr>
          <w:trHeight w:val="84"/>
          <w:jc w:val="center"/>
        </w:trPr>
        <w:tc>
          <w:tcPr>
            <w:tcW w:w="3906" w:type="dxa"/>
            <w:tcMar>
              <w:top w:w="58" w:type="dxa"/>
              <w:left w:w="115" w:type="dxa"/>
              <w:bottom w:w="29" w:type="dxa"/>
              <w:right w:w="115" w:type="dxa"/>
            </w:tcMar>
          </w:tcPr>
          <w:p w:rsidR="007275A7" w:rsidRPr="007275A7" w:rsidRDefault="007275A7" w:rsidP="002E21D5">
            <w:pPr>
              <w:rPr>
                <w:bCs/>
              </w:rPr>
            </w:pPr>
            <w:r w:rsidRPr="007275A7">
              <w:rPr>
                <w:bCs/>
              </w:rPr>
              <w:t xml:space="preserve">Ministry of Social Development, in particular the Domestic Violence Unit within the Division of Gender and Family Affairs, together with the relevant entities established under the aegis of this Ministry </w:t>
            </w:r>
          </w:p>
        </w:tc>
        <w:tc>
          <w:tcPr>
            <w:tcW w:w="5939" w:type="dxa"/>
            <w:tcMar>
              <w:top w:w="58" w:type="dxa"/>
              <w:left w:w="115" w:type="dxa"/>
              <w:right w:w="115" w:type="dxa"/>
            </w:tcMar>
          </w:tcPr>
          <w:p w:rsidR="007275A7" w:rsidRPr="007275A7" w:rsidRDefault="007275A7" w:rsidP="007275A7">
            <w:pPr>
              <w:pStyle w:val="ListParagraph"/>
              <w:numPr>
                <w:ilvl w:val="0"/>
                <w:numId w:val="36"/>
              </w:numPr>
              <w:ind w:left="252" w:hanging="252"/>
              <w:contextualSpacing w:val="0"/>
              <w:rPr>
                <w:bCs/>
              </w:rPr>
            </w:pPr>
            <w:r w:rsidRPr="007275A7">
              <w:rPr>
                <w:bCs/>
              </w:rPr>
              <w:t xml:space="preserve">Planning for implementation, monitoring and evaluation of this Plan </w:t>
            </w:r>
          </w:p>
          <w:p w:rsidR="007275A7" w:rsidRPr="007275A7" w:rsidRDefault="007275A7" w:rsidP="007275A7">
            <w:pPr>
              <w:pStyle w:val="ListParagraph"/>
              <w:numPr>
                <w:ilvl w:val="0"/>
                <w:numId w:val="36"/>
              </w:numPr>
              <w:ind w:left="252" w:hanging="252"/>
              <w:contextualSpacing w:val="0"/>
              <w:rPr>
                <w:bCs/>
              </w:rPr>
            </w:pPr>
            <w:r w:rsidRPr="007275A7">
              <w:rPr>
                <w:bCs/>
              </w:rPr>
              <w:t xml:space="preserve">Programming for victims, witnesses, perpetrators and others affected by GBV </w:t>
            </w:r>
          </w:p>
          <w:p w:rsidR="007275A7" w:rsidRPr="007275A7" w:rsidRDefault="007275A7" w:rsidP="007275A7">
            <w:pPr>
              <w:pStyle w:val="ListParagraph"/>
              <w:numPr>
                <w:ilvl w:val="0"/>
                <w:numId w:val="36"/>
              </w:numPr>
              <w:ind w:left="252" w:hanging="252"/>
              <w:contextualSpacing w:val="0"/>
              <w:rPr>
                <w:bCs/>
              </w:rPr>
            </w:pPr>
            <w:r w:rsidRPr="007275A7">
              <w:rPr>
                <w:bCs/>
              </w:rPr>
              <w:t xml:space="preserve">Direct social and psychological services </w:t>
            </w:r>
          </w:p>
          <w:p w:rsidR="007275A7" w:rsidRPr="007275A7" w:rsidRDefault="007275A7" w:rsidP="007275A7">
            <w:pPr>
              <w:pStyle w:val="ListParagraph"/>
              <w:numPr>
                <w:ilvl w:val="0"/>
                <w:numId w:val="36"/>
              </w:numPr>
              <w:ind w:left="252" w:hanging="252"/>
              <w:contextualSpacing w:val="0"/>
              <w:rPr>
                <w:bCs/>
              </w:rPr>
            </w:pPr>
            <w:r w:rsidRPr="007275A7">
              <w:rPr>
                <w:bCs/>
              </w:rPr>
              <w:t xml:space="preserve">Economic support to victims and their families </w:t>
            </w:r>
          </w:p>
          <w:p w:rsidR="007275A7" w:rsidRPr="007275A7" w:rsidRDefault="007275A7" w:rsidP="007275A7">
            <w:pPr>
              <w:pStyle w:val="ListParagraph"/>
              <w:numPr>
                <w:ilvl w:val="0"/>
                <w:numId w:val="36"/>
              </w:numPr>
              <w:ind w:left="252" w:hanging="252"/>
              <w:contextualSpacing w:val="0"/>
              <w:rPr>
                <w:bCs/>
              </w:rPr>
            </w:pPr>
            <w:r w:rsidRPr="007275A7">
              <w:rPr>
                <w:bCs/>
              </w:rPr>
              <w:t xml:space="preserve">National </w:t>
            </w:r>
            <w:proofErr w:type="spellStart"/>
            <w:r w:rsidRPr="007275A7">
              <w:rPr>
                <w:bCs/>
              </w:rPr>
              <w:t>sensitisation</w:t>
            </w:r>
            <w:proofErr w:type="spellEnd"/>
            <w:r w:rsidRPr="007275A7">
              <w:rPr>
                <w:bCs/>
              </w:rPr>
              <w:t xml:space="preserve"> and community education </w:t>
            </w:r>
          </w:p>
          <w:p w:rsidR="007275A7" w:rsidRPr="007275A7" w:rsidRDefault="007275A7" w:rsidP="007275A7">
            <w:pPr>
              <w:pStyle w:val="ListParagraph"/>
              <w:numPr>
                <w:ilvl w:val="0"/>
                <w:numId w:val="36"/>
              </w:numPr>
              <w:ind w:left="252" w:hanging="252"/>
              <w:contextualSpacing w:val="0"/>
              <w:rPr>
                <w:bCs/>
              </w:rPr>
            </w:pPr>
            <w:r w:rsidRPr="007275A7">
              <w:rPr>
                <w:bCs/>
              </w:rPr>
              <w:t xml:space="preserve">Advocating, facilitating, coordinating and monitoring for effective programming by other stakeholders </w:t>
            </w:r>
          </w:p>
        </w:tc>
      </w:tr>
      <w:tr w:rsidR="007275A7" w:rsidRPr="00517E52" w:rsidTr="007275A7">
        <w:trPr>
          <w:trHeight w:val="657"/>
          <w:jc w:val="center"/>
        </w:trPr>
        <w:tc>
          <w:tcPr>
            <w:tcW w:w="3906" w:type="dxa"/>
            <w:tcMar>
              <w:top w:w="58" w:type="dxa"/>
              <w:left w:w="115" w:type="dxa"/>
              <w:bottom w:w="29" w:type="dxa"/>
              <w:right w:w="115" w:type="dxa"/>
            </w:tcMar>
          </w:tcPr>
          <w:p w:rsidR="007275A7" w:rsidRPr="007275A7" w:rsidRDefault="007275A7" w:rsidP="002E21D5">
            <w:pPr>
              <w:rPr>
                <w:bCs/>
              </w:rPr>
            </w:pPr>
            <w:r w:rsidRPr="007275A7">
              <w:rPr>
                <w:bCs/>
              </w:rPr>
              <w:t xml:space="preserve">Ministry of National Security </w:t>
            </w:r>
          </w:p>
        </w:tc>
        <w:tc>
          <w:tcPr>
            <w:tcW w:w="5939" w:type="dxa"/>
            <w:tcMar>
              <w:top w:w="58" w:type="dxa"/>
              <w:left w:w="115" w:type="dxa"/>
              <w:right w:w="115" w:type="dxa"/>
            </w:tcMar>
          </w:tcPr>
          <w:p w:rsidR="007275A7" w:rsidRPr="007275A7" w:rsidRDefault="007275A7" w:rsidP="007275A7">
            <w:pPr>
              <w:pStyle w:val="ListParagraph"/>
              <w:numPr>
                <w:ilvl w:val="0"/>
                <w:numId w:val="36"/>
              </w:numPr>
              <w:ind w:left="252" w:hanging="252"/>
              <w:contextualSpacing w:val="0"/>
              <w:rPr>
                <w:bCs/>
              </w:rPr>
            </w:pPr>
            <w:proofErr w:type="spellStart"/>
            <w:r w:rsidRPr="007275A7">
              <w:rPr>
                <w:bCs/>
              </w:rPr>
              <w:t>Recognising</w:t>
            </w:r>
            <w:proofErr w:type="spellEnd"/>
            <w:r w:rsidRPr="007275A7">
              <w:rPr>
                <w:bCs/>
              </w:rPr>
              <w:t xml:space="preserve"> GBV as a category of crime that impacts on citizen security &amp; national development and adopting appropriate mechanisms to address it </w:t>
            </w:r>
          </w:p>
        </w:tc>
      </w:tr>
      <w:tr w:rsidR="007275A7" w:rsidRPr="00517E52" w:rsidTr="007275A7">
        <w:trPr>
          <w:trHeight w:val="488"/>
          <w:jc w:val="center"/>
        </w:trPr>
        <w:tc>
          <w:tcPr>
            <w:tcW w:w="3906" w:type="dxa"/>
            <w:tcMar>
              <w:top w:w="58" w:type="dxa"/>
              <w:left w:w="115" w:type="dxa"/>
              <w:bottom w:w="29" w:type="dxa"/>
              <w:right w:w="115" w:type="dxa"/>
            </w:tcMar>
          </w:tcPr>
          <w:p w:rsidR="007275A7" w:rsidRPr="007275A7" w:rsidRDefault="007275A7" w:rsidP="002E21D5">
            <w:pPr>
              <w:rPr>
                <w:bCs/>
              </w:rPr>
            </w:pPr>
            <w:r w:rsidRPr="007275A7">
              <w:rPr>
                <w:bCs/>
              </w:rPr>
              <w:lastRenderedPageBreak/>
              <w:t>Royal Grenada Police Force</w:t>
            </w:r>
          </w:p>
        </w:tc>
        <w:tc>
          <w:tcPr>
            <w:tcW w:w="5939" w:type="dxa"/>
            <w:tcMar>
              <w:top w:w="58" w:type="dxa"/>
              <w:left w:w="115" w:type="dxa"/>
              <w:right w:w="115" w:type="dxa"/>
            </w:tcMar>
          </w:tcPr>
          <w:p w:rsidR="007275A7" w:rsidRPr="007275A7" w:rsidRDefault="007275A7" w:rsidP="007275A7">
            <w:pPr>
              <w:pStyle w:val="ListParagraph"/>
              <w:numPr>
                <w:ilvl w:val="0"/>
                <w:numId w:val="36"/>
              </w:numPr>
              <w:ind w:left="252" w:hanging="252"/>
              <w:contextualSpacing w:val="0"/>
              <w:rPr>
                <w:bCs/>
              </w:rPr>
            </w:pPr>
            <w:r w:rsidRPr="007275A7">
              <w:rPr>
                <w:bCs/>
              </w:rPr>
              <w:t xml:space="preserve">Law enforcement, including emergency response, investigation, protection, charging and prosecution </w:t>
            </w:r>
          </w:p>
        </w:tc>
      </w:tr>
      <w:tr w:rsidR="007275A7" w:rsidRPr="00517E52" w:rsidTr="007275A7">
        <w:trPr>
          <w:trHeight w:val="502"/>
          <w:jc w:val="center"/>
        </w:trPr>
        <w:tc>
          <w:tcPr>
            <w:tcW w:w="3906" w:type="dxa"/>
            <w:tcMar>
              <w:top w:w="58" w:type="dxa"/>
              <w:left w:w="115" w:type="dxa"/>
              <w:bottom w:w="29" w:type="dxa"/>
              <w:right w:w="115" w:type="dxa"/>
            </w:tcMar>
          </w:tcPr>
          <w:p w:rsidR="007275A7" w:rsidRPr="007275A7" w:rsidRDefault="007275A7" w:rsidP="002E21D5">
            <w:pPr>
              <w:rPr>
                <w:bCs/>
              </w:rPr>
            </w:pPr>
            <w:r w:rsidRPr="007275A7">
              <w:rPr>
                <w:bCs/>
              </w:rPr>
              <w:t xml:space="preserve">Ministry of Health and health care facilities </w:t>
            </w:r>
          </w:p>
        </w:tc>
        <w:tc>
          <w:tcPr>
            <w:tcW w:w="5939" w:type="dxa"/>
            <w:tcMar>
              <w:top w:w="58" w:type="dxa"/>
              <w:left w:w="115" w:type="dxa"/>
              <w:right w:w="115" w:type="dxa"/>
            </w:tcMar>
          </w:tcPr>
          <w:p w:rsidR="007275A7" w:rsidRPr="007275A7" w:rsidRDefault="007275A7" w:rsidP="007275A7">
            <w:pPr>
              <w:pStyle w:val="ListParagraph"/>
              <w:numPr>
                <w:ilvl w:val="0"/>
                <w:numId w:val="36"/>
              </w:numPr>
              <w:ind w:left="252" w:hanging="252"/>
              <w:contextualSpacing w:val="0"/>
              <w:rPr>
                <w:bCs/>
              </w:rPr>
            </w:pPr>
            <w:r w:rsidRPr="007275A7">
              <w:rPr>
                <w:bCs/>
              </w:rPr>
              <w:t xml:space="preserve">Health care services (physical and mental) </w:t>
            </w:r>
          </w:p>
          <w:p w:rsidR="007275A7" w:rsidRPr="007275A7" w:rsidRDefault="007275A7" w:rsidP="007275A7">
            <w:pPr>
              <w:pStyle w:val="ListParagraph"/>
              <w:numPr>
                <w:ilvl w:val="0"/>
                <w:numId w:val="36"/>
              </w:numPr>
              <w:ind w:left="252" w:hanging="252"/>
              <w:contextualSpacing w:val="0"/>
              <w:rPr>
                <w:bCs/>
              </w:rPr>
            </w:pPr>
            <w:r w:rsidRPr="007275A7">
              <w:rPr>
                <w:bCs/>
              </w:rPr>
              <w:t xml:space="preserve">Providing Medico-legal responses </w:t>
            </w:r>
          </w:p>
        </w:tc>
      </w:tr>
      <w:tr w:rsidR="007275A7" w:rsidRPr="00517E52" w:rsidTr="007275A7">
        <w:trPr>
          <w:trHeight w:val="827"/>
          <w:jc w:val="center"/>
        </w:trPr>
        <w:tc>
          <w:tcPr>
            <w:tcW w:w="3906" w:type="dxa"/>
            <w:tcMar>
              <w:top w:w="58" w:type="dxa"/>
              <w:left w:w="115" w:type="dxa"/>
              <w:bottom w:w="29" w:type="dxa"/>
              <w:right w:w="115" w:type="dxa"/>
            </w:tcMar>
          </w:tcPr>
          <w:p w:rsidR="007275A7" w:rsidRPr="007275A7" w:rsidRDefault="007275A7" w:rsidP="002E21D5">
            <w:pPr>
              <w:rPr>
                <w:bCs/>
              </w:rPr>
            </w:pPr>
            <w:r w:rsidRPr="007275A7">
              <w:rPr>
                <w:bCs/>
              </w:rPr>
              <w:t xml:space="preserve">Ministry of Education and educational institutions  </w:t>
            </w:r>
          </w:p>
        </w:tc>
        <w:tc>
          <w:tcPr>
            <w:tcW w:w="5939" w:type="dxa"/>
            <w:tcMar>
              <w:top w:w="58" w:type="dxa"/>
              <w:left w:w="115" w:type="dxa"/>
              <w:right w:w="115" w:type="dxa"/>
            </w:tcMar>
          </w:tcPr>
          <w:p w:rsidR="007275A7" w:rsidRPr="007275A7" w:rsidRDefault="007275A7" w:rsidP="007275A7">
            <w:pPr>
              <w:pStyle w:val="ListParagraph"/>
              <w:numPr>
                <w:ilvl w:val="0"/>
                <w:numId w:val="36"/>
              </w:numPr>
              <w:ind w:left="252" w:hanging="252"/>
              <w:contextualSpacing w:val="0"/>
              <w:rPr>
                <w:bCs/>
              </w:rPr>
            </w:pPr>
            <w:r w:rsidRPr="007275A7">
              <w:rPr>
                <w:bCs/>
              </w:rPr>
              <w:t>Formal education at pre-school to tertiary levels</w:t>
            </w:r>
          </w:p>
          <w:p w:rsidR="007275A7" w:rsidRPr="007275A7" w:rsidRDefault="007275A7" w:rsidP="007275A7">
            <w:pPr>
              <w:pStyle w:val="ListParagraph"/>
              <w:numPr>
                <w:ilvl w:val="0"/>
                <w:numId w:val="36"/>
              </w:numPr>
              <w:ind w:left="252" w:hanging="252"/>
              <w:contextualSpacing w:val="0"/>
              <w:rPr>
                <w:bCs/>
              </w:rPr>
            </w:pPr>
            <w:proofErr w:type="spellStart"/>
            <w:r w:rsidRPr="007275A7">
              <w:rPr>
                <w:bCs/>
              </w:rPr>
              <w:t>Specialised</w:t>
            </w:r>
            <w:proofErr w:type="spellEnd"/>
            <w:r w:rsidRPr="007275A7">
              <w:rPr>
                <w:bCs/>
              </w:rPr>
              <w:t xml:space="preserve"> training for pre-service and in-service professionals </w:t>
            </w:r>
          </w:p>
          <w:p w:rsidR="007275A7" w:rsidRPr="007275A7" w:rsidRDefault="007275A7" w:rsidP="007275A7">
            <w:pPr>
              <w:pStyle w:val="ListParagraph"/>
              <w:numPr>
                <w:ilvl w:val="0"/>
                <w:numId w:val="36"/>
              </w:numPr>
              <w:ind w:left="252" w:hanging="252"/>
              <w:contextualSpacing w:val="0"/>
              <w:rPr>
                <w:bCs/>
              </w:rPr>
            </w:pPr>
            <w:r w:rsidRPr="007275A7">
              <w:rPr>
                <w:bCs/>
              </w:rPr>
              <w:t xml:space="preserve">Policies for all staff and students </w:t>
            </w:r>
          </w:p>
        </w:tc>
      </w:tr>
      <w:tr w:rsidR="007275A7" w:rsidRPr="00517E52" w:rsidTr="007275A7">
        <w:trPr>
          <w:trHeight w:val="502"/>
          <w:jc w:val="center"/>
        </w:trPr>
        <w:tc>
          <w:tcPr>
            <w:tcW w:w="3906" w:type="dxa"/>
            <w:tcMar>
              <w:top w:w="58" w:type="dxa"/>
              <w:left w:w="115" w:type="dxa"/>
              <w:bottom w:w="29" w:type="dxa"/>
              <w:right w:w="115" w:type="dxa"/>
            </w:tcMar>
          </w:tcPr>
          <w:p w:rsidR="007275A7" w:rsidRPr="007275A7" w:rsidRDefault="007275A7" w:rsidP="002E21D5">
            <w:pPr>
              <w:rPr>
                <w:bCs/>
              </w:rPr>
            </w:pPr>
            <w:r w:rsidRPr="007275A7">
              <w:rPr>
                <w:bCs/>
              </w:rPr>
              <w:t xml:space="preserve">Ministry of Legal Affairs </w:t>
            </w:r>
          </w:p>
        </w:tc>
        <w:tc>
          <w:tcPr>
            <w:tcW w:w="5939" w:type="dxa"/>
            <w:tcMar>
              <w:top w:w="58" w:type="dxa"/>
              <w:left w:w="115" w:type="dxa"/>
              <w:right w:w="115" w:type="dxa"/>
            </w:tcMar>
          </w:tcPr>
          <w:p w:rsidR="007275A7" w:rsidRPr="007275A7" w:rsidRDefault="007275A7" w:rsidP="007275A7">
            <w:pPr>
              <w:pStyle w:val="ListParagraph"/>
              <w:numPr>
                <w:ilvl w:val="0"/>
                <w:numId w:val="36"/>
              </w:numPr>
              <w:ind w:left="252" w:hanging="252"/>
              <w:contextualSpacing w:val="0"/>
              <w:rPr>
                <w:bCs/>
              </w:rPr>
            </w:pPr>
            <w:r w:rsidRPr="007275A7">
              <w:rPr>
                <w:bCs/>
              </w:rPr>
              <w:t xml:space="preserve">Legislative reform </w:t>
            </w:r>
          </w:p>
          <w:p w:rsidR="007275A7" w:rsidRPr="007275A7" w:rsidRDefault="007275A7" w:rsidP="007275A7">
            <w:pPr>
              <w:pStyle w:val="ListParagraph"/>
              <w:numPr>
                <w:ilvl w:val="0"/>
                <w:numId w:val="36"/>
              </w:numPr>
              <w:ind w:left="252" w:hanging="252"/>
              <w:contextualSpacing w:val="0"/>
              <w:rPr>
                <w:bCs/>
              </w:rPr>
            </w:pPr>
            <w:r w:rsidRPr="007275A7">
              <w:rPr>
                <w:bCs/>
              </w:rPr>
              <w:t xml:space="preserve">Ensuring/facilitating justice </w:t>
            </w:r>
          </w:p>
        </w:tc>
      </w:tr>
      <w:tr w:rsidR="007275A7" w:rsidRPr="00517E52" w:rsidTr="007275A7">
        <w:trPr>
          <w:trHeight w:val="1011"/>
          <w:jc w:val="center"/>
        </w:trPr>
        <w:tc>
          <w:tcPr>
            <w:tcW w:w="3906" w:type="dxa"/>
            <w:tcMar>
              <w:top w:w="58" w:type="dxa"/>
              <w:left w:w="115" w:type="dxa"/>
              <w:bottom w:w="29" w:type="dxa"/>
              <w:right w:w="115" w:type="dxa"/>
            </w:tcMar>
          </w:tcPr>
          <w:p w:rsidR="007275A7" w:rsidRPr="007275A7" w:rsidRDefault="007275A7" w:rsidP="002E21D5">
            <w:pPr>
              <w:rPr>
                <w:bCs/>
              </w:rPr>
            </w:pPr>
            <w:r w:rsidRPr="007275A7">
              <w:rPr>
                <w:bCs/>
              </w:rPr>
              <w:t xml:space="preserve">Civil society actors, such as NGOs, </w:t>
            </w:r>
            <w:proofErr w:type="spellStart"/>
            <w:r w:rsidRPr="007275A7">
              <w:rPr>
                <w:bCs/>
              </w:rPr>
              <w:t>CBOs</w:t>
            </w:r>
            <w:proofErr w:type="spellEnd"/>
            <w:r w:rsidRPr="007275A7">
              <w:rPr>
                <w:bCs/>
              </w:rPr>
              <w:t xml:space="preserve">, </w:t>
            </w:r>
            <w:proofErr w:type="spellStart"/>
            <w:r w:rsidRPr="007275A7">
              <w:rPr>
                <w:bCs/>
              </w:rPr>
              <w:t>FBOs</w:t>
            </w:r>
            <w:proofErr w:type="spellEnd"/>
            <w:r w:rsidRPr="007275A7">
              <w:rPr>
                <w:bCs/>
              </w:rPr>
              <w:t xml:space="preserve">, academia, trade unions and the private sector </w:t>
            </w:r>
          </w:p>
        </w:tc>
        <w:tc>
          <w:tcPr>
            <w:tcW w:w="5939" w:type="dxa"/>
            <w:tcMar>
              <w:top w:w="58" w:type="dxa"/>
              <w:left w:w="115" w:type="dxa"/>
              <w:right w:w="115" w:type="dxa"/>
            </w:tcMar>
          </w:tcPr>
          <w:p w:rsidR="007275A7" w:rsidRPr="007275A7" w:rsidRDefault="007275A7" w:rsidP="007275A7">
            <w:pPr>
              <w:pStyle w:val="ListParagraph"/>
              <w:numPr>
                <w:ilvl w:val="0"/>
                <w:numId w:val="36"/>
              </w:numPr>
              <w:ind w:left="252" w:hanging="252"/>
              <w:contextualSpacing w:val="0"/>
              <w:rPr>
                <w:bCs/>
              </w:rPr>
            </w:pPr>
            <w:r w:rsidRPr="007275A7">
              <w:rPr>
                <w:bCs/>
              </w:rPr>
              <w:t xml:space="preserve">Direct social and psychological services </w:t>
            </w:r>
          </w:p>
          <w:p w:rsidR="007275A7" w:rsidRPr="007275A7" w:rsidRDefault="007275A7" w:rsidP="007275A7">
            <w:pPr>
              <w:pStyle w:val="ListParagraph"/>
              <w:numPr>
                <w:ilvl w:val="0"/>
                <w:numId w:val="36"/>
              </w:numPr>
              <w:ind w:left="252" w:hanging="252"/>
              <w:contextualSpacing w:val="0"/>
              <w:rPr>
                <w:bCs/>
              </w:rPr>
            </w:pPr>
            <w:r w:rsidRPr="007275A7">
              <w:rPr>
                <w:bCs/>
              </w:rPr>
              <w:t xml:space="preserve">Advocacy </w:t>
            </w:r>
          </w:p>
          <w:p w:rsidR="007275A7" w:rsidRPr="007275A7" w:rsidRDefault="007275A7" w:rsidP="007275A7">
            <w:pPr>
              <w:pStyle w:val="ListParagraph"/>
              <w:numPr>
                <w:ilvl w:val="0"/>
                <w:numId w:val="36"/>
              </w:numPr>
              <w:ind w:left="252" w:hanging="252"/>
              <w:contextualSpacing w:val="0"/>
              <w:rPr>
                <w:bCs/>
              </w:rPr>
            </w:pPr>
            <w:r w:rsidRPr="007275A7">
              <w:rPr>
                <w:bCs/>
              </w:rPr>
              <w:t xml:space="preserve">Research </w:t>
            </w:r>
          </w:p>
          <w:p w:rsidR="007275A7" w:rsidRPr="007275A7" w:rsidRDefault="007275A7" w:rsidP="007275A7">
            <w:pPr>
              <w:pStyle w:val="ListParagraph"/>
              <w:numPr>
                <w:ilvl w:val="0"/>
                <w:numId w:val="36"/>
              </w:numPr>
              <w:ind w:left="252" w:hanging="252"/>
              <w:contextualSpacing w:val="0"/>
              <w:rPr>
                <w:bCs/>
              </w:rPr>
            </w:pPr>
            <w:r w:rsidRPr="007275A7">
              <w:rPr>
                <w:bCs/>
              </w:rPr>
              <w:t xml:space="preserve">National </w:t>
            </w:r>
            <w:proofErr w:type="spellStart"/>
            <w:r w:rsidRPr="007275A7">
              <w:rPr>
                <w:bCs/>
              </w:rPr>
              <w:t>sensitisation</w:t>
            </w:r>
            <w:proofErr w:type="spellEnd"/>
            <w:r w:rsidRPr="007275A7">
              <w:rPr>
                <w:bCs/>
              </w:rPr>
              <w:t xml:space="preserve"> and community education </w:t>
            </w:r>
          </w:p>
          <w:p w:rsidR="007275A7" w:rsidRPr="007275A7" w:rsidRDefault="007275A7" w:rsidP="007275A7">
            <w:pPr>
              <w:pStyle w:val="ListParagraph"/>
              <w:numPr>
                <w:ilvl w:val="0"/>
                <w:numId w:val="36"/>
              </w:numPr>
              <w:ind w:left="252" w:hanging="252"/>
              <w:contextualSpacing w:val="0"/>
              <w:rPr>
                <w:bCs/>
              </w:rPr>
            </w:pPr>
            <w:r w:rsidRPr="007275A7">
              <w:rPr>
                <w:bCs/>
              </w:rPr>
              <w:t xml:space="preserve">Partnership, engagement and involvement </w:t>
            </w:r>
          </w:p>
        </w:tc>
      </w:tr>
    </w:tbl>
    <w:p w:rsidR="007275A7" w:rsidRPr="00517E52" w:rsidRDefault="007275A7" w:rsidP="007275A7"/>
    <w:p w:rsidR="007275A7" w:rsidRPr="00517E52" w:rsidRDefault="007275A7" w:rsidP="007275A7">
      <w:r w:rsidRPr="00517E52">
        <w:t xml:space="preserve"> </w:t>
      </w:r>
    </w:p>
    <w:p w:rsidR="00F737C1" w:rsidRDefault="00B62E3D" w:rsidP="00344A5F">
      <w:pPr>
        <w:jc w:val="both"/>
      </w:pPr>
      <w:r>
        <w:rPr>
          <w:noProof/>
        </w:rPr>
        <w:pict>
          <v:shapetype id="_x0000_t202" coordsize="21600,21600" o:spt="202" path="m,l,21600r21600,l21600,xe">
            <v:stroke joinstyle="miter"/>
            <v:path gradientshapeok="t" o:connecttype="rect"/>
          </v:shapetype>
          <v:shape id="_x0000_s1028" type="#_x0000_t202" style="position:absolute;left:0;text-align:left;margin-left:-7.2pt;margin-top:10in;width:266.4pt;height:18pt;z-index:251658752;mso-wrap-style:tight;mso-position-vertical-relative:page" filled="f" stroked="f">
            <v:textbox>
              <w:txbxContent>
                <w:p w:rsidR="00F737C1" w:rsidRPr="005E7EBD" w:rsidRDefault="00B62E3D">
                  <w:pPr>
                    <w:rPr>
                      <w:sz w:val="18"/>
                    </w:rPr>
                  </w:pPr>
                  <w:fldSimple w:instr=" FILENAME  \* MERGEFORMAT ">
                    <w:r w:rsidR="00F737C1">
                      <w:rPr>
                        <w:noProof/>
                        <w:sz w:val="18"/>
                      </w:rPr>
                      <w:t>CIM03</w:t>
                    </w:r>
                    <w:r w:rsidR="00406702">
                      <w:rPr>
                        <w:noProof/>
                        <w:sz w:val="18"/>
                      </w:rPr>
                      <w:t>659</w:t>
                    </w:r>
                    <w:r w:rsidR="00F737C1">
                      <w:rPr>
                        <w:noProof/>
                        <w:sz w:val="18"/>
                      </w:rPr>
                      <w:t>E</w:t>
                    </w:r>
                  </w:fldSimple>
                  <w:r w:rsidR="00F737C1">
                    <w:rPr>
                      <w:sz w:val="18"/>
                    </w:rPr>
                    <w:t>01</w:t>
                  </w:r>
                  <w:r w:rsidR="00F737C1" w:rsidRPr="005E7EBD">
                    <w:rPr>
                      <w:sz w:val="18"/>
                    </w:rPr>
                    <w:t xml:space="preserve"> </w:t>
                  </w:r>
                </w:p>
              </w:txbxContent>
            </v:textbox>
            <w10:wrap anchory="page"/>
            <w10:anchorlock/>
          </v:shape>
        </w:pict>
      </w:r>
    </w:p>
    <w:sectPr w:rsidR="00F737C1" w:rsidSect="009B36E0">
      <w:type w:val="continuous"/>
      <w:pgSz w:w="12240" w:h="15840"/>
      <w:pgMar w:top="2160" w:right="1570" w:bottom="1296" w:left="1670" w:header="1080" w:footer="64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7C1" w:rsidRDefault="00F737C1" w:rsidP="004861A2">
      <w:r>
        <w:separator/>
      </w:r>
    </w:p>
  </w:endnote>
  <w:endnote w:type="continuationSeparator" w:id="1">
    <w:p w:rsidR="00F737C1" w:rsidRDefault="00F737C1" w:rsidP="004861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altName w:val="Arial"/>
    <w:panose1 w:val="020B0604020202020204"/>
    <w:charset w:val="00"/>
    <w:family w:val="swiss"/>
    <w:pitch w:val="variable"/>
    <w:sig w:usb0="20002A87" w:usb1="00000000" w:usb2="00000000"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7C1" w:rsidRDefault="00F737C1" w:rsidP="004861A2">
      <w:r>
        <w:separator/>
      </w:r>
    </w:p>
  </w:footnote>
  <w:footnote w:type="continuationSeparator" w:id="1">
    <w:p w:rsidR="00F737C1" w:rsidRDefault="00F737C1" w:rsidP="004861A2">
      <w:r>
        <w:continuationSeparator/>
      </w:r>
    </w:p>
  </w:footnote>
  <w:footnote w:id="2">
    <w:p w:rsidR="00F737C1" w:rsidRDefault="00F737C1">
      <w:pPr>
        <w:pStyle w:val="FootnoteText"/>
      </w:pPr>
      <w:r>
        <w:rPr>
          <w:rStyle w:val="FootnoteReference"/>
        </w:rPr>
        <w:footnoteRef/>
      </w:r>
      <w:r w:rsidRPr="009E4FEB">
        <w:t>Basic14.Conv%20of%20Belem%20Do%20Para%20Ratif.htm</w:t>
      </w:r>
      <w:r>
        <w:t xml:space="preserve">( </w:t>
      </w:r>
      <w:r w:rsidRPr="00A66642">
        <w:t>General Secretariat OAS (Original instrument and ratifications)</w:t>
      </w:r>
    </w:p>
  </w:footnote>
  <w:footnote w:id="3">
    <w:p w:rsidR="00F737C1" w:rsidRDefault="00F737C1">
      <w:pPr>
        <w:pStyle w:val="FootnoteText"/>
      </w:pPr>
      <w:r>
        <w:rPr>
          <w:rStyle w:val="FootnoteReference"/>
        </w:rPr>
        <w:footnoteRef/>
      </w:r>
      <w:r>
        <w:t xml:space="preserve"> </w:t>
      </w:r>
      <w:r w:rsidRPr="00DD1E7E">
        <w:t>http://www.gogrenada.gd/about/about-the-islands/history/?ref=nav</w:t>
      </w:r>
    </w:p>
  </w:footnote>
  <w:footnote w:id="4">
    <w:p w:rsidR="00F737C1" w:rsidRDefault="00F737C1">
      <w:pPr>
        <w:pStyle w:val="FootnoteText"/>
      </w:pPr>
      <w:r>
        <w:rPr>
          <w:rStyle w:val="FootnoteReference"/>
        </w:rPr>
        <w:footnoteRef/>
      </w:r>
      <w:r>
        <w:t xml:space="preserve"> </w:t>
      </w:r>
      <w:r>
        <w:rPr>
          <w:rStyle w:val="FootnoteReference"/>
        </w:rPr>
        <w:footnoteRef/>
      </w:r>
      <w:r>
        <w:t xml:space="preserve"> </w:t>
      </w:r>
      <w:r w:rsidRPr="00D809C8">
        <w:t>https://www.cia.gov/library/publications/the-world-factbook/geos/gj.html</w:t>
      </w:r>
    </w:p>
  </w:footnote>
  <w:footnote w:id="5">
    <w:p w:rsidR="00F737C1" w:rsidRDefault="00F737C1" w:rsidP="004861A2">
      <w:pPr>
        <w:pStyle w:val="FootnoteText"/>
      </w:pPr>
      <w:r>
        <w:rPr>
          <w:rStyle w:val="FootnoteReference"/>
        </w:rPr>
        <w:footnoteRef/>
      </w:r>
      <w:r>
        <w:t xml:space="preserve"> </w:t>
      </w:r>
      <w:r w:rsidRPr="00D809C8">
        <w:t>https://www.cia.gov/library/publications/the-world-factbook/geos/gj.html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3ECC"/>
    <w:multiLevelType w:val="hybridMultilevel"/>
    <w:tmpl w:val="99A833FE"/>
    <w:lvl w:ilvl="0" w:tplc="B2A4B314">
      <w:start w:val="34"/>
      <w:numFmt w:val="bullet"/>
      <w:lvlText w:val="-"/>
      <w:lvlJc w:val="left"/>
      <w:pPr>
        <w:ind w:left="2520" w:hanging="720"/>
      </w:pPr>
      <w:rPr>
        <w:rFonts w:ascii="Times New Roman" w:eastAsia="SimSun" w:hAnsi="Times New Roman" w:hint="default"/>
      </w:rPr>
    </w:lvl>
    <w:lvl w:ilvl="1" w:tplc="08090019" w:tentative="1">
      <w:start w:val="1"/>
      <w:numFmt w:val="lowerLetter"/>
      <w:lvlText w:val="%2."/>
      <w:lvlJc w:val="left"/>
      <w:pPr>
        <w:ind w:left="2880" w:hanging="360"/>
      </w:pPr>
      <w:rPr>
        <w:rFonts w:cs="Times New Roman"/>
      </w:rPr>
    </w:lvl>
    <w:lvl w:ilvl="2" w:tplc="0809001B" w:tentative="1">
      <w:start w:val="1"/>
      <w:numFmt w:val="lowerRoman"/>
      <w:lvlText w:val="%3."/>
      <w:lvlJc w:val="right"/>
      <w:pPr>
        <w:ind w:left="3600" w:hanging="180"/>
      </w:pPr>
      <w:rPr>
        <w:rFonts w:cs="Times New Roman"/>
      </w:rPr>
    </w:lvl>
    <w:lvl w:ilvl="3" w:tplc="0809000F" w:tentative="1">
      <w:start w:val="1"/>
      <w:numFmt w:val="decimal"/>
      <w:lvlText w:val="%4."/>
      <w:lvlJc w:val="left"/>
      <w:pPr>
        <w:ind w:left="4320" w:hanging="360"/>
      </w:pPr>
      <w:rPr>
        <w:rFonts w:cs="Times New Roman"/>
      </w:rPr>
    </w:lvl>
    <w:lvl w:ilvl="4" w:tplc="08090019" w:tentative="1">
      <w:start w:val="1"/>
      <w:numFmt w:val="lowerLetter"/>
      <w:lvlText w:val="%5."/>
      <w:lvlJc w:val="left"/>
      <w:pPr>
        <w:ind w:left="5040" w:hanging="360"/>
      </w:pPr>
      <w:rPr>
        <w:rFonts w:cs="Times New Roman"/>
      </w:rPr>
    </w:lvl>
    <w:lvl w:ilvl="5" w:tplc="0809001B" w:tentative="1">
      <w:start w:val="1"/>
      <w:numFmt w:val="lowerRoman"/>
      <w:lvlText w:val="%6."/>
      <w:lvlJc w:val="right"/>
      <w:pPr>
        <w:ind w:left="5760" w:hanging="180"/>
      </w:pPr>
      <w:rPr>
        <w:rFonts w:cs="Times New Roman"/>
      </w:rPr>
    </w:lvl>
    <w:lvl w:ilvl="6" w:tplc="0809000F" w:tentative="1">
      <w:start w:val="1"/>
      <w:numFmt w:val="decimal"/>
      <w:lvlText w:val="%7."/>
      <w:lvlJc w:val="left"/>
      <w:pPr>
        <w:ind w:left="6480" w:hanging="360"/>
      </w:pPr>
      <w:rPr>
        <w:rFonts w:cs="Times New Roman"/>
      </w:rPr>
    </w:lvl>
    <w:lvl w:ilvl="7" w:tplc="08090019" w:tentative="1">
      <w:start w:val="1"/>
      <w:numFmt w:val="lowerLetter"/>
      <w:lvlText w:val="%8."/>
      <w:lvlJc w:val="left"/>
      <w:pPr>
        <w:ind w:left="7200" w:hanging="360"/>
      </w:pPr>
      <w:rPr>
        <w:rFonts w:cs="Times New Roman"/>
      </w:rPr>
    </w:lvl>
    <w:lvl w:ilvl="8" w:tplc="0809001B" w:tentative="1">
      <w:start w:val="1"/>
      <w:numFmt w:val="lowerRoman"/>
      <w:lvlText w:val="%9."/>
      <w:lvlJc w:val="right"/>
      <w:pPr>
        <w:ind w:left="7920" w:hanging="180"/>
      </w:pPr>
      <w:rPr>
        <w:rFonts w:cs="Times New Roman"/>
      </w:rPr>
    </w:lvl>
  </w:abstractNum>
  <w:abstractNum w:abstractNumId="1">
    <w:nsid w:val="080A26A2"/>
    <w:multiLevelType w:val="hybridMultilevel"/>
    <w:tmpl w:val="D1AA1B96"/>
    <w:lvl w:ilvl="0" w:tplc="D890C7D6">
      <w:start w:val="4"/>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A773A10"/>
    <w:multiLevelType w:val="hybridMultilevel"/>
    <w:tmpl w:val="35B834EE"/>
    <w:lvl w:ilvl="0" w:tplc="362EE5E6">
      <w:start w:val="1"/>
      <w:numFmt w:val="upperLetter"/>
      <w:lvlText w:val="%1."/>
      <w:lvlJc w:val="left"/>
      <w:pPr>
        <w:ind w:left="1022" w:hanging="360"/>
      </w:pPr>
      <w:rPr>
        <w:rFonts w:cs="Times New Roman" w:hint="default"/>
      </w:rPr>
    </w:lvl>
    <w:lvl w:ilvl="1" w:tplc="04090019" w:tentative="1">
      <w:start w:val="1"/>
      <w:numFmt w:val="lowerLetter"/>
      <w:lvlText w:val="%2."/>
      <w:lvlJc w:val="left"/>
      <w:pPr>
        <w:ind w:left="1742" w:hanging="360"/>
      </w:pPr>
      <w:rPr>
        <w:rFonts w:cs="Times New Roman"/>
      </w:rPr>
    </w:lvl>
    <w:lvl w:ilvl="2" w:tplc="0409001B" w:tentative="1">
      <w:start w:val="1"/>
      <w:numFmt w:val="lowerRoman"/>
      <w:lvlText w:val="%3."/>
      <w:lvlJc w:val="right"/>
      <w:pPr>
        <w:ind w:left="2462" w:hanging="180"/>
      </w:pPr>
      <w:rPr>
        <w:rFonts w:cs="Times New Roman"/>
      </w:rPr>
    </w:lvl>
    <w:lvl w:ilvl="3" w:tplc="0409000F" w:tentative="1">
      <w:start w:val="1"/>
      <w:numFmt w:val="decimal"/>
      <w:lvlText w:val="%4."/>
      <w:lvlJc w:val="left"/>
      <w:pPr>
        <w:ind w:left="3182" w:hanging="360"/>
      </w:pPr>
      <w:rPr>
        <w:rFonts w:cs="Times New Roman"/>
      </w:rPr>
    </w:lvl>
    <w:lvl w:ilvl="4" w:tplc="04090019" w:tentative="1">
      <w:start w:val="1"/>
      <w:numFmt w:val="lowerLetter"/>
      <w:lvlText w:val="%5."/>
      <w:lvlJc w:val="left"/>
      <w:pPr>
        <w:ind w:left="3902" w:hanging="360"/>
      </w:pPr>
      <w:rPr>
        <w:rFonts w:cs="Times New Roman"/>
      </w:rPr>
    </w:lvl>
    <w:lvl w:ilvl="5" w:tplc="0409001B" w:tentative="1">
      <w:start w:val="1"/>
      <w:numFmt w:val="lowerRoman"/>
      <w:lvlText w:val="%6."/>
      <w:lvlJc w:val="right"/>
      <w:pPr>
        <w:ind w:left="4622" w:hanging="180"/>
      </w:pPr>
      <w:rPr>
        <w:rFonts w:cs="Times New Roman"/>
      </w:rPr>
    </w:lvl>
    <w:lvl w:ilvl="6" w:tplc="0409000F" w:tentative="1">
      <w:start w:val="1"/>
      <w:numFmt w:val="decimal"/>
      <w:lvlText w:val="%7."/>
      <w:lvlJc w:val="left"/>
      <w:pPr>
        <w:ind w:left="5342" w:hanging="360"/>
      </w:pPr>
      <w:rPr>
        <w:rFonts w:cs="Times New Roman"/>
      </w:rPr>
    </w:lvl>
    <w:lvl w:ilvl="7" w:tplc="04090019" w:tentative="1">
      <w:start w:val="1"/>
      <w:numFmt w:val="lowerLetter"/>
      <w:lvlText w:val="%8."/>
      <w:lvlJc w:val="left"/>
      <w:pPr>
        <w:ind w:left="6062" w:hanging="360"/>
      </w:pPr>
      <w:rPr>
        <w:rFonts w:cs="Times New Roman"/>
      </w:rPr>
    </w:lvl>
    <w:lvl w:ilvl="8" w:tplc="0409001B" w:tentative="1">
      <w:start w:val="1"/>
      <w:numFmt w:val="lowerRoman"/>
      <w:lvlText w:val="%9."/>
      <w:lvlJc w:val="right"/>
      <w:pPr>
        <w:ind w:left="6782" w:hanging="180"/>
      </w:pPr>
      <w:rPr>
        <w:rFonts w:cs="Times New Roman"/>
      </w:rPr>
    </w:lvl>
  </w:abstractNum>
  <w:abstractNum w:abstractNumId="3">
    <w:nsid w:val="0A842058"/>
    <w:multiLevelType w:val="hybridMultilevel"/>
    <w:tmpl w:val="1B724580"/>
    <w:lvl w:ilvl="0" w:tplc="33440E42">
      <w:numFmt w:val="bullet"/>
      <w:lvlText w:val="-"/>
      <w:lvlJc w:val="left"/>
      <w:pPr>
        <w:tabs>
          <w:tab w:val="num" w:pos="1080"/>
        </w:tabs>
        <w:ind w:left="108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0C7E7437"/>
    <w:multiLevelType w:val="hybridMultilevel"/>
    <w:tmpl w:val="882A5A8A"/>
    <w:lvl w:ilvl="0" w:tplc="FCD65EBE">
      <w:start w:val="1"/>
      <w:numFmt w:val="decimal"/>
      <w:lvlText w:val="%1."/>
      <w:lvlJc w:val="left"/>
      <w:pPr>
        <w:tabs>
          <w:tab w:val="num" w:pos="360"/>
        </w:tabs>
        <w:ind w:left="360" w:hanging="360"/>
      </w:pPr>
      <w:rPr>
        <w:rFonts w:cs="Times New Roman"/>
        <w:b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13931161"/>
    <w:multiLevelType w:val="hybridMultilevel"/>
    <w:tmpl w:val="72386FCA"/>
    <w:lvl w:ilvl="0" w:tplc="B76C55F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3E619A7"/>
    <w:multiLevelType w:val="hybridMultilevel"/>
    <w:tmpl w:val="B29C76F0"/>
    <w:lvl w:ilvl="0" w:tplc="B2A4B314">
      <w:start w:val="34"/>
      <w:numFmt w:val="bullet"/>
      <w:lvlText w:val="-"/>
      <w:lvlJc w:val="left"/>
      <w:pPr>
        <w:ind w:left="720" w:hanging="360"/>
      </w:pPr>
      <w:rPr>
        <w:rFonts w:ascii="Times New Roman" w:eastAsia="SimSun" w:hAnsi="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75B3846"/>
    <w:multiLevelType w:val="hybridMultilevel"/>
    <w:tmpl w:val="9832642E"/>
    <w:lvl w:ilvl="0" w:tplc="CA280106">
      <w:numFmt w:val="bullet"/>
      <w:lvlText w:val="-"/>
      <w:lvlJc w:val="left"/>
      <w:pPr>
        <w:ind w:left="1080" w:hanging="360"/>
      </w:pPr>
      <w:rPr>
        <w:rFonts w:ascii="Times New Roman" w:eastAsia="Times New Roman" w:hAnsi="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8510B1E"/>
    <w:multiLevelType w:val="hybridMultilevel"/>
    <w:tmpl w:val="A9D6FFF4"/>
    <w:lvl w:ilvl="0" w:tplc="F224DDE0">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8C0236F"/>
    <w:multiLevelType w:val="hybridMultilevel"/>
    <w:tmpl w:val="2B407F28"/>
    <w:lvl w:ilvl="0" w:tplc="03BC84D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9CB288A"/>
    <w:multiLevelType w:val="hybridMultilevel"/>
    <w:tmpl w:val="E4BA3A18"/>
    <w:lvl w:ilvl="0" w:tplc="6A06FCC0">
      <w:start w:val="1"/>
      <w:numFmt w:val="lowerLetter"/>
      <w:lvlText w:val="%1."/>
      <w:lvlJc w:val="left"/>
      <w:pPr>
        <w:ind w:left="1350" w:hanging="360"/>
      </w:pPr>
      <w:rPr>
        <w:rFonts w:hint="default"/>
      </w:rPr>
    </w:lvl>
    <w:lvl w:ilvl="1" w:tplc="24090019" w:tentative="1">
      <w:start w:val="1"/>
      <w:numFmt w:val="lowerLetter"/>
      <w:lvlText w:val="%2."/>
      <w:lvlJc w:val="left"/>
      <w:pPr>
        <w:ind w:left="2070" w:hanging="360"/>
      </w:pPr>
    </w:lvl>
    <w:lvl w:ilvl="2" w:tplc="2409001B" w:tentative="1">
      <w:start w:val="1"/>
      <w:numFmt w:val="lowerRoman"/>
      <w:lvlText w:val="%3."/>
      <w:lvlJc w:val="right"/>
      <w:pPr>
        <w:ind w:left="2790" w:hanging="180"/>
      </w:pPr>
    </w:lvl>
    <w:lvl w:ilvl="3" w:tplc="2409000F" w:tentative="1">
      <w:start w:val="1"/>
      <w:numFmt w:val="decimal"/>
      <w:lvlText w:val="%4."/>
      <w:lvlJc w:val="left"/>
      <w:pPr>
        <w:ind w:left="3510" w:hanging="360"/>
      </w:pPr>
    </w:lvl>
    <w:lvl w:ilvl="4" w:tplc="24090019" w:tentative="1">
      <w:start w:val="1"/>
      <w:numFmt w:val="lowerLetter"/>
      <w:lvlText w:val="%5."/>
      <w:lvlJc w:val="left"/>
      <w:pPr>
        <w:ind w:left="4230" w:hanging="360"/>
      </w:pPr>
    </w:lvl>
    <w:lvl w:ilvl="5" w:tplc="2409001B" w:tentative="1">
      <w:start w:val="1"/>
      <w:numFmt w:val="lowerRoman"/>
      <w:lvlText w:val="%6."/>
      <w:lvlJc w:val="right"/>
      <w:pPr>
        <w:ind w:left="4950" w:hanging="180"/>
      </w:pPr>
    </w:lvl>
    <w:lvl w:ilvl="6" w:tplc="2409000F" w:tentative="1">
      <w:start w:val="1"/>
      <w:numFmt w:val="decimal"/>
      <w:lvlText w:val="%7."/>
      <w:lvlJc w:val="left"/>
      <w:pPr>
        <w:ind w:left="5670" w:hanging="360"/>
      </w:pPr>
    </w:lvl>
    <w:lvl w:ilvl="7" w:tplc="24090019" w:tentative="1">
      <w:start w:val="1"/>
      <w:numFmt w:val="lowerLetter"/>
      <w:lvlText w:val="%8."/>
      <w:lvlJc w:val="left"/>
      <w:pPr>
        <w:ind w:left="6390" w:hanging="360"/>
      </w:pPr>
    </w:lvl>
    <w:lvl w:ilvl="8" w:tplc="2409001B" w:tentative="1">
      <w:start w:val="1"/>
      <w:numFmt w:val="lowerRoman"/>
      <w:lvlText w:val="%9."/>
      <w:lvlJc w:val="right"/>
      <w:pPr>
        <w:ind w:left="7110" w:hanging="180"/>
      </w:pPr>
    </w:lvl>
  </w:abstractNum>
  <w:abstractNum w:abstractNumId="11">
    <w:nsid w:val="1EB71157"/>
    <w:multiLevelType w:val="hybridMultilevel"/>
    <w:tmpl w:val="8AC06C4E"/>
    <w:lvl w:ilvl="0" w:tplc="0809000F">
      <w:start w:val="1"/>
      <w:numFmt w:val="decimal"/>
      <w:lvlText w:val="%1."/>
      <w:lvlJc w:val="left"/>
      <w:pPr>
        <w:ind w:left="39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21F146CC"/>
    <w:multiLevelType w:val="hybridMultilevel"/>
    <w:tmpl w:val="A9E073F8"/>
    <w:lvl w:ilvl="0" w:tplc="C7C6805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690228A"/>
    <w:multiLevelType w:val="hybridMultilevel"/>
    <w:tmpl w:val="74265772"/>
    <w:lvl w:ilvl="0" w:tplc="045A6D36">
      <w:start w:val="1"/>
      <w:numFmt w:val="decimal"/>
      <w:lvlText w:val="%1."/>
      <w:lvlJc w:val="left"/>
      <w:pPr>
        <w:ind w:left="3600" w:hanging="360"/>
      </w:pPr>
      <w:rPr>
        <w:rFonts w:cs="Times New Roman" w:hint="default"/>
        <w:b/>
        <w:sz w:val="24"/>
      </w:rPr>
    </w:lvl>
    <w:lvl w:ilvl="1" w:tplc="04090019">
      <w:start w:val="1"/>
      <w:numFmt w:val="lowerLetter"/>
      <w:lvlText w:val="%2."/>
      <w:lvlJc w:val="left"/>
      <w:pPr>
        <w:ind w:left="4320" w:hanging="360"/>
      </w:pPr>
      <w:rPr>
        <w:rFonts w:cs="Times New Roman"/>
      </w:rPr>
    </w:lvl>
    <w:lvl w:ilvl="2" w:tplc="0409001B" w:tentative="1">
      <w:start w:val="1"/>
      <w:numFmt w:val="lowerRoman"/>
      <w:lvlText w:val="%3."/>
      <w:lvlJc w:val="right"/>
      <w:pPr>
        <w:ind w:left="5040" w:hanging="180"/>
      </w:pPr>
      <w:rPr>
        <w:rFonts w:cs="Times New Roman"/>
      </w:rPr>
    </w:lvl>
    <w:lvl w:ilvl="3" w:tplc="0409000F" w:tentative="1">
      <w:start w:val="1"/>
      <w:numFmt w:val="decimal"/>
      <w:lvlText w:val="%4."/>
      <w:lvlJc w:val="left"/>
      <w:pPr>
        <w:ind w:left="5760" w:hanging="360"/>
      </w:pPr>
      <w:rPr>
        <w:rFonts w:cs="Times New Roman"/>
      </w:rPr>
    </w:lvl>
    <w:lvl w:ilvl="4" w:tplc="04090019" w:tentative="1">
      <w:start w:val="1"/>
      <w:numFmt w:val="lowerLetter"/>
      <w:lvlText w:val="%5."/>
      <w:lvlJc w:val="left"/>
      <w:pPr>
        <w:ind w:left="6480" w:hanging="360"/>
      </w:pPr>
      <w:rPr>
        <w:rFonts w:cs="Times New Roman"/>
      </w:rPr>
    </w:lvl>
    <w:lvl w:ilvl="5" w:tplc="0409001B" w:tentative="1">
      <w:start w:val="1"/>
      <w:numFmt w:val="lowerRoman"/>
      <w:lvlText w:val="%6."/>
      <w:lvlJc w:val="right"/>
      <w:pPr>
        <w:ind w:left="7200" w:hanging="180"/>
      </w:pPr>
      <w:rPr>
        <w:rFonts w:cs="Times New Roman"/>
      </w:rPr>
    </w:lvl>
    <w:lvl w:ilvl="6" w:tplc="0409000F" w:tentative="1">
      <w:start w:val="1"/>
      <w:numFmt w:val="decimal"/>
      <w:lvlText w:val="%7."/>
      <w:lvlJc w:val="left"/>
      <w:pPr>
        <w:ind w:left="7920" w:hanging="360"/>
      </w:pPr>
      <w:rPr>
        <w:rFonts w:cs="Times New Roman"/>
      </w:rPr>
    </w:lvl>
    <w:lvl w:ilvl="7" w:tplc="04090019" w:tentative="1">
      <w:start w:val="1"/>
      <w:numFmt w:val="lowerLetter"/>
      <w:lvlText w:val="%8."/>
      <w:lvlJc w:val="left"/>
      <w:pPr>
        <w:ind w:left="8640" w:hanging="360"/>
      </w:pPr>
      <w:rPr>
        <w:rFonts w:cs="Times New Roman"/>
      </w:rPr>
    </w:lvl>
    <w:lvl w:ilvl="8" w:tplc="0409001B" w:tentative="1">
      <w:start w:val="1"/>
      <w:numFmt w:val="lowerRoman"/>
      <w:lvlText w:val="%9."/>
      <w:lvlJc w:val="right"/>
      <w:pPr>
        <w:ind w:left="9360" w:hanging="180"/>
      </w:pPr>
      <w:rPr>
        <w:rFonts w:cs="Times New Roman"/>
      </w:rPr>
    </w:lvl>
  </w:abstractNum>
  <w:abstractNum w:abstractNumId="14">
    <w:nsid w:val="269D0481"/>
    <w:multiLevelType w:val="hybridMultilevel"/>
    <w:tmpl w:val="E8DE201E"/>
    <w:lvl w:ilvl="0" w:tplc="5BFC5B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6B52AC4"/>
    <w:multiLevelType w:val="hybridMultilevel"/>
    <w:tmpl w:val="3886D7B4"/>
    <w:lvl w:ilvl="0" w:tplc="04090017">
      <w:start w:val="1"/>
      <w:numFmt w:val="lowerLetter"/>
      <w:lvlText w:val="%1)"/>
      <w:lvlJc w:val="left"/>
      <w:pPr>
        <w:tabs>
          <w:tab w:val="num" w:pos="720"/>
        </w:tabs>
        <w:ind w:left="720" w:hanging="360"/>
      </w:pPr>
      <w:rPr>
        <w:rFont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2C00413F"/>
    <w:multiLevelType w:val="hybridMultilevel"/>
    <w:tmpl w:val="8AC06C4E"/>
    <w:lvl w:ilvl="0" w:tplc="0809000F">
      <w:start w:val="1"/>
      <w:numFmt w:val="decimal"/>
      <w:lvlText w:val="%1."/>
      <w:lvlJc w:val="left"/>
      <w:pPr>
        <w:ind w:left="39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7">
    <w:nsid w:val="315B2426"/>
    <w:multiLevelType w:val="hybridMultilevel"/>
    <w:tmpl w:val="7B920D54"/>
    <w:lvl w:ilvl="0" w:tplc="D2D83D06">
      <w:start w:val="1"/>
      <w:numFmt w:val="lowerLetter"/>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346D681B"/>
    <w:multiLevelType w:val="hybridMultilevel"/>
    <w:tmpl w:val="1C6E277A"/>
    <w:lvl w:ilvl="0" w:tplc="B2A4B314">
      <w:start w:val="34"/>
      <w:numFmt w:val="bullet"/>
      <w:lvlText w:val="-"/>
      <w:lvlJc w:val="left"/>
      <w:pPr>
        <w:ind w:left="1627" w:hanging="360"/>
      </w:pPr>
      <w:rPr>
        <w:rFonts w:ascii="Times New Roman" w:eastAsia="SimSun" w:hAnsi="Times New Roman" w:hint="default"/>
      </w:rPr>
    </w:lvl>
    <w:lvl w:ilvl="1" w:tplc="10090003" w:tentative="1">
      <w:start w:val="1"/>
      <w:numFmt w:val="bullet"/>
      <w:lvlText w:val="o"/>
      <w:lvlJc w:val="left"/>
      <w:pPr>
        <w:ind w:left="2347" w:hanging="360"/>
      </w:pPr>
      <w:rPr>
        <w:rFonts w:ascii="Courier New" w:hAnsi="Courier New" w:hint="default"/>
      </w:rPr>
    </w:lvl>
    <w:lvl w:ilvl="2" w:tplc="10090005" w:tentative="1">
      <w:start w:val="1"/>
      <w:numFmt w:val="bullet"/>
      <w:lvlText w:val=""/>
      <w:lvlJc w:val="left"/>
      <w:pPr>
        <w:ind w:left="3067" w:hanging="360"/>
      </w:pPr>
      <w:rPr>
        <w:rFonts w:ascii="Wingdings" w:hAnsi="Wingdings" w:hint="default"/>
      </w:rPr>
    </w:lvl>
    <w:lvl w:ilvl="3" w:tplc="10090001" w:tentative="1">
      <w:start w:val="1"/>
      <w:numFmt w:val="bullet"/>
      <w:lvlText w:val=""/>
      <w:lvlJc w:val="left"/>
      <w:pPr>
        <w:ind w:left="3787" w:hanging="360"/>
      </w:pPr>
      <w:rPr>
        <w:rFonts w:ascii="Symbol" w:hAnsi="Symbol" w:hint="default"/>
      </w:rPr>
    </w:lvl>
    <w:lvl w:ilvl="4" w:tplc="10090003" w:tentative="1">
      <w:start w:val="1"/>
      <w:numFmt w:val="bullet"/>
      <w:lvlText w:val="o"/>
      <w:lvlJc w:val="left"/>
      <w:pPr>
        <w:ind w:left="4507" w:hanging="360"/>
      </w:pPr>
      <w:rPr>
        <w:rFonts w:ascii="Courier New" w:hAnsi="Courier New" w:hint="default"/>
      </w:rPr>
    </w:lvl>
    <w:lvl w:ilvl="5" w:tplc="10090005" w:tentative="1">
      <w:start w:val="1"/>
      <w:numFmt w:val="bullet"/>
      <w:lvlText w:val=""/>
      <w:lvlJc w:val="left"/>
      <w:pPr>
        <w:ind w:left="5227" w:hanging="360"/>
      </w:pPr>
      <w:rPr>
        <w:rFonts w:ascii="Wingdings" w:hAnsi="Wingdings" w:hint="default"/>
      </w:rPr>
    </w:lvl>
    <w:lvl w:ilvl="6" w:tplc="10090001" w:tentative="1">
      <w:start w:val="1"/>
      <w:numFmt w:val="bullet"/>
      <w:lvlText w:val=""/>
      <w:lvlJc w:val="left"/>
      <w:pPr>
        <w:ind w:left="5947" w:hanging="360"/>
      </w:pPr>
      <w:rPr>
        <w:rFonts w:ascii="Symbol" w:hAnsi="Symbol" w:hint="default"/>
      </w:rPr>
    </w:lvl>
    <w:lvl w:ilvl="7" w:tplc="10090003" w:tentative="1">
      <w:start w:val="1"/>
      <w:numFmt w:val="bullet"/>
      <w:lvlText w:val="o"/>
      <w:lvlJc w:val="left"/>
      <w:pPr>
        <w:ind w:left="6667" w:hanging="360"/>
      </w:pPr>
      <w:rPr>
        <w:rFonts w:ascii="Courier New" w:hAnsi="Courier New" w:hint="default"/>
      </w:rPr>
    </w:lvl>
    <w:lvl w:ilvl="8" w:tplc="10090005" w:tentative="1">
      <w:start w:val="1"/>
      <w:numFmt w:val="bullet"/>
      <w:lvlText w:val=""/>
      <w:lvlJc w:val="left"/>
      <w:pPr>
        <w:ind w:left="7387" w:hanging="360"/>
      </w:pPr>
      <w:rPr>
        <w:rFonts w:ascii="Wingdings" w:hAnsi="Wingdings" w:hint="default"/>
      </w:rPr>
    </w:lvl>
  </w:abstractNum>
  <w:abstractNum w:abstractNumId="19">
    <w:nsid w:val="37A27FB8"/>
    <w:multiLevelType w:val="hybridMultilevel"/>
    <w:tmpl w:val="F03CEE20"/>
    <w:lvl w:ilvl="0" w:tplc="B2A4B314">
      <w:start w:val="34"/>
      <w:numFmt w:val="bullet"/>
      <w:lvlText w:val="-"/>
      <w:lvlJc w:val="left"/>
      <w:pPr>
        <w:ind w:left="1440" w:hanging="360"/>
      </w:pPr>
      <w:rPr>
        <w:rFonts w:ascii="Times New Roman" w:eastAsia="SimSun" w:hAnsi="Times New Roman" w:hint="default"/>
      </w:rPr>
    </w:lvl>
    <w:lvl w:ilvl="1" w:tplc="08090003">
      <w:start w:val="1"/>
      <w:numFmt w:val="bullet"/>
      <w:lvlText w:val="o"/>
      <w:lvlJc w:val="left"/>
      <w:pPr>
        <w:ind w:left="2160" w:hanging="360"/>
      </w:pPr>
      <w:rPr>
        <w:rFonts w:ascii="Courier New" w:hAnsi="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hint="default"/>
      </w:rPr>
    </w:lvl>
    <w:lvl w:ilvl="8" w:tplc="08090005">
      <w:start w:val="1"/>
      <w:numFmt w:val="bullet"/>
      <w:lvlText w:val=""/>
      <w:lvlJc w:val="left"/>
      <w:pPr>
        <w:ind w:left="7200" w:hanging="360"/>
      </w:pPr>
      <w:rPr>
        <w:rFonts w:ascii="Wingdings" w:hAnsi="Wingdings" w:hint="default"/>
      </w:rPr>
    </w:lvl>
  </w:abstractNum>
  <w:abstractNum w:abstractNumId="20">
    <w:nsid w:val="3B917C24"/>
    <w:multiLevelType w:val="hybridMultilevel"/>
    <w:tmpl w:val="E940C3F0"/>
    <w:lvl w:ilvl="0" w:tplc="D474F740">
      <w:numFmt w:val="bullet"/>
      <w:lvlText w:val="-"/>
      <w:lvlJc w:val="left"/>
      <w:pPr>
        <w:ind w:left="720" w:hanging="360"/>
      </w:pPr>
      <w:rPr>
        <w:rFonts w:ascii="Arial" w:eastAsia="Calibri" w:hAnsi="Arial" w:cs="Aria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21">
    <w:nsid w:val="3C193BD4"/>
    <w:multiLevelType w:val="hybridMultilevel"/>
    <w:tmpl w:val="BF804932"/>
    <w:lvl w:ilvl="0" w:tplc="6AD29518">
      <w:start w:val="1"/>
      <w:numFmt w:val="lowerLetter"/>
      <w:lvlText w:val="%1."/>
      <w:lvlJc w:val="left"/>
      <w:pPr>
        <w:ind w:left="1440" w:hanging="360"/>
      </w:pPr>
      <w:rPr>
        <w:rFonts w:cs="Times New Roman" w:hint="default"/>
        <w:b/>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nsid w:val="43CD5B9A"/>
    <w:multiLevelType w:val="hybridMultilevel"/>
    <w:tmpl w:val="CD12D8D0"/>
    <w:lvl w:ilvl="0" w:tplc="B2A4B314">
      <w:start w:val="34"/>
      <w:numFmt w:val="bullet"/>
      <w:lvlText w:val="-"/>
      <w:lvlJc w:val="left"/>
      <w:pPr>
        <w:ind w:left="1080" w:hanging="360"/>
      </w:pPr>
      <w:rPr>
        <w:rFonts w:ascii="Times New Roman" w:eastAsia="SimSun" w:hAnsi="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47374158"/>
    <w:multiLevelType w:val="hybridMultilevel"/>
    <w:tmpl w:val="0CF44900"/>
    <w:lvl w:ilvl="0" w:tplc="C7208A82">
      <w:numFmt w:val="bullet"/>
      <w:lvlText w:val="-"/>
      <w:lvlJc w:val="left"/>
      <w:pPr>
        <w:ind w:left="720" w:hanging="360"/>
      </w:pPr>
      <w:rPr>
        <w:rFonts w:ascii="Cambria" w:eastAsia="Calibri"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02A2E9B"/>
    <w:multiLevelType w:val="hybridMultilevel"/>
    <w:tmpl w:val="A7FE2E44"/>
    <w:lvl w:ilvl="0" w:tplc="8AC2A56A">
      <w:start w:val="1"/>
      <w:numFmt w:val="upp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nsid w:val="52CE6C0A"/>
    <w:multiLevelType w:val="hybridMultilevel"/>
    <w:tmpl w:val="5EC2AA7C"/>
    <w:lvl w:ilvl="0" w:tplc="8B7A3C72">
      <w:start w:val="1"/>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69561EB"/>
    <w:multiLevelType w:val="hybridMultilevel"/>
    <w:tmpl w:val="8AC06C4E"/>
    <w:lvl w:ilvl="0" w:tplc="0809000F">
      <w:start w:val="1"/>
      <w:numFmt w:val="decimal"/>
      <w:lvlText w:val="%1."/>
      <w:lvlJc w:val="left"/>
      <w:pPr>
        <w:ind w:left="3960" w:hanging="360"/>
      </w:p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27">
    <w:nsid w:val="58E21598"/>
    <w:multiLevelType w:val="hybridMultilevel"/>
    <w:tmpl w:val="52D2AEF8"/>
    <w:lvl w:ilvl="0" w:tplc="B2A4B314">
      <w:start w:val="34"/>
      <w:numFmt w:val="bullet"/>
      <w:lvlText w:val="-"/>
      <w:lvlJc w:val="left"/>
      <w:pPr>
        <w:ind w:left="1800" w:hanging="360"/>
      </w:pPr>
      <w:rPr>
        <w:rFonts w:ascii="Times New Roman" w:eastAsia="SimSun" w:hAnsi="Times New Roman" w:hint="default"/>
      </w:rPr>
    </w:lvl>
    <w:lvl w:ilvl="1" w:tplc="10090003" w:tentative="1">
      <w:start w:val="1"/>
      <w:numFmt w:val="bullet"/>
      <w:lvlText w:val="o"/>
      <w:lvlJc w:val="left"/>
      <w:pPr>
        <w:ind w:left="2520" w:hanging="360"/>
      </w:pPr>
      <w:rPr>
        <w:rFonts w:ascii="Courier New" w:hAnsi="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8">
    <w:nsid w:val="5CCC3D9B"/>
    <w:multiLevelType w:val="hybridMultilevel"/>
    <w:tmpl w:val="66288BDE"/>
    <w:lvl w:ilvl="0" w:tplc="03BC84D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09B753E"/>
    <w:multiLevelType w:val="hybridMultilevel"/>
    <w:tmpl w:val="4F5E3296"/>
    <w:lvl w:ilvl="0" w:tplc="2AC672F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69E30122"/>
    <w:multiLevelType w:val="hybridMultilevel"/>
    <w:tmpl w:val="583C5B8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6C722D20"/>
    <w:multiLevelType w:val="hybridMultilevel"/>
    <w:tmpl w:val="B3C643E4"/>
    <w:lvl w:ilvl="0" w:tplc="E1029ED0">
      <w:start w:val="1"/>
      <w:numFmt w:val="lowerLetter"/>
      <w:lvlText w:val="%1."/>
      <w:lvlJc w:val="left"/>
      <w:pPr>
        <w:ind w:left="1440" w:hanging="360"/>
      </w:pPr>
      <w:rPr>
        <w:rFonts w:cs="Times New Roman" w:hint="default"/>
        <w:b/>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6E573CEE"/>
    <w:multiLevelType w:val="hybridMultilevel"/>
    <w:tmpl w:val="800493B2"/>
    <w:lvl w:ilvl="0" w:tplc="30D2333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2934A5C"/>
    <w:multiLevelType w:val="hybridMultilevel"/>
    <w:tmpl w:val="E5188F3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78935F47"/>
    <w:multiLevelType w:val="hybridMultilevel"/>
    <w:tmpl w:val="DF60EFCC"/>
    <w:lvl w:ilvl="0" w:tplc="B2A4B314">
      <w:start w:val="34"/>
      <w:numFmt w:val="bullet"/>
      <w:lvlText w:val="-"/>
      <w:lvlJc w:val="left"/>
      <w:pPr>
        <w:ind w:left="1800" w:hanging="360"/>
      </w:pPr>
      <w:rPr>
        <w:rFonts w:ascii="Times New Roman" w:eastAsia="SimSun" w:hAnsi="Times New Roman" w:hint="default"/>
      </w:rPr>
    </w:lvl>
    <w:lvl w:ilvl="1" w:tplc="10090003" w:tentative="1">
      <w:start w:val="1"/>
      <w:numFmt w:val="bullet"/>
      <w:lvlText w:val="o"/>
      <w:lvlJc w:val="left"/>
      <w:pPr>
        <w:ind w:left="2520" w:hanging="360"/>
      </w:pPr>
      <w:rPr>
        <w:rFonts w:ascii="Courier New" w:hAnsi="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hint="default"/>
      </w:rPr>
    </w:lvl>
    <w:lvl w:ilvl="8" w:tplc="10090005" w:tentative="1">
      <w:start w:val="1"/>
      <w:numFmt w:val="bullet"/>
      <w:lvlText w:val=""/>
      <w:lvlJc w:val="left"/>
      <w:pPr>
        <w:ind w:left="7560" w:hanging="360"/>
      </w:pPr>
      <w:rPr>
        <w:rFonts w:ascii="Wingdings" w:hAnsi="Wingdings" w:hint="default"/>
      </w:rPr>
    </w:lvl>
  </w:abstractNum>
  <w:num w:numId="1">
    <w:abstractNumId w:val="17"/>
  </w:num>
  <w:num w:numId="2">
    <w:abstractNumId w:val="25"/>
  </w:num>
  <w:num w:numId="3">
    <w:abstractNumId w:val="21"/>
  </w:num>
  <w:num w:numId="4">
    <w:abstractNumId w:val="31"/>
  </w:num>
  <w:num w:numId="5">
    <w:abstractNumId w:val="29"/>
  </w:num>
  <w:num w:numId="6">
    <w:abstractNumId w:val="1"/>
  </w:num>
  <w:num w:numId="7">
    <w:abstractNumId w:val="2"/>
  </w:num>
  <w:num w:numId="8">
    <w:abstractNumId w:val="13"/>
  </w:num>
  <w:num w:numId="9">
    <w:abstractNumId w:val="8"/>
  </w:num>
  <w:num w:numId="10">
    <w:abstractNumId w:val="19"/>
  </w:num>
  <w:num w:numId="11">
    <w:abstractNumId w:val="7"/>
  </w:num>
  <w:num w:numId="12">
    <w:abstractNumId w:val="27"/>
  </w:num>
  <w:num w:numId="13">
    <w:abstractNumId w:val="6"/>
  </w:num>
  <w:num w:numId="14">
    <w:abstractNumId w:val="22"/>
  </w:num>
  <w:num w:numId="15">
    <w:abstractNumId w:val="18"/>
  </w:num>
  <w:num w:numId="16">
    <w:abstractNumId w:val="34"/>
  </w:num>
  <w:num w:numId="17">
    <w:abstractNumId w:val="0"/>
  </w:num>
  <w:num w:numId="18">
    <w:abstractNumId w:val="24"/>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0"/>
  </w:num>
  <w:num w:numId="22">
    <w:abstractNumId w:val="33"/>
  </w:num>
  <w:num w:numId="23">
    <w:abstractNumId w:val="4"/>
  </w:num>
  <w:num w:numId="24">
    <w:abstractNumId w:val="12"/>
  </w:num>
  <w:num w:numId="25">
    <w:abstractNumId w:val="23"/>
  </w:num>
  <w:num w:numId="26">
    <w:abstractNumId w:val="32"/>
  </w:num>
  <w:num w:numId="27">
    <w:abstractNumId w:val="26"/>
  </w:num>
  <w:num w:numId="28">
    <w:abstractNumId w:val="5"/>
  </w:num>
  <w:num w:numId="29">
    <w:abstractNumId w:val="10"/>
  </w:num>
  <w:num w:numId="30">
    <w:abstractNumId w:val="9"/>
  </w:num>
  <w:num w:numId="31">
    <w:abstractNumId w:val="28"/>
  </w:num>
  <w:num w:numId="32">
    <w:abstractNumId w:val="15"/>
  </w:num>
  <w:num w:numId="33">
    <w:abstractNumId w:val="20"/>
  </w:num>
  <w:num w:numId="34">
    <w:abstractNumId w:val="16"/>
  </w:num>
  <w:num w:numId="35">
    <w:abstractNumId w:val="11"/>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1A2"/>
    <w:rsid w:val="00070E6B"/>
    <w:rsid w:val="00111B59"/>
    <w:rsid w:val="0011626D"/>
    <w:rsid w:val="00130ADE"/>
    <w:rsid w:val="0016721C"/>
    <w:rsid w:val="00183D37"/>
    <w:rsid w:val="00191FD7"/>
    <w:rsid w:val="0020030F"/>
    <w:rsid w:val="00226211"/>
    <w:rsid w:val="00244B36"/>
    <w:rsid w:val="00254C73"/>
    <w:rsid w:val="002E56FB"/>
    <w:rsid w:val="00344A5F"/>
    <w:rsid w:val="003656B1"/>
    <w:rsid w:val="003D2458"/>
    <w:rsid w:val="003E7196"/>
    <w:rsid w:val="00406702"/>
    <w:rsid w:val="004861A2"/>
    <w:rsid w:val="00501F9A"/>
    <w:rsid w:val="00546B3B"/>
    <w:rsid w:val="005E7988"/>
    <w:rsid w:val="005E7EBD"/>
    <w:rsid w:val="00622458"/>
    <w:rsid w:val="006927C9"/>
    <w:rsid w:val="006E0EF3"/>
    <w:rsid w:val="00700A12"/>
    <w:rsid w:val="00703CD7"/>
    <w:rsid w:val="007275A7"/>
    <w:rsid w:val="00736D6F"/>
    <w:rsid w:val="0078692D"/>
    <w:rsid w:val="007B27D1"/>
    <w:rsid w:val="007B6E21"/>
    <w:rsid w:val="007F292E"/>
    <w:rsid w:val="0081505F"/>
    <w:rsid w:val="008A4E25"/>
    <w:rsid w:val="009013AE"/>
    <w:rsid w:val="009A179A"/>
    <w:rsid w:val="009B36E0"/>
    <w:rsid w:val="009E4FEB"/>
    <w:rsid w:val="00A66642"/>
    <w:rsid w:val="00A81EFE"/>
    <w:rsid w:val="00AD39A7"/>
    <w:rsid w:val="00B40877"/>
    <w:rsid w:val="00B62E3D"/>
    <w:rsid w:val="00B77096"/>
    <w:rsid w:val="00BA4BFB"/>
    <w:rsid w:val="00C110F4"/>
    <w:rsid w:val="00C11724"/>
    <w:rsid w:val="00C11CCE"/>
    <w:rsid w:val="00C456CB"/>
    <w:rsid w:val="00C54357"/>
    <w:rsid w:val="00CC3837"/>
    <w:rsid w:val="00CE1AAC"/>
    <w:rsid w:val="00D809C8"/>
    <w:rsid w:val="00DD1E7E"/>
    <w:rsid w:val="00E353E2"/>
    <w:rsid w:val="00E76034"/>
    <w:rsid w:val="00ED0556"/>
    <w:rsid w:val="00EE106B"/>
    <w:rsid w:val="00F067CB"/>
    <w:rsid w:val="00F06E9D"/>
    <w:rsid w:val="00F56617"/>
    <w:rsid w:val="00F737C1"/>
    <w:rsid w:val="00FB0369"/>
    <w:rsid w:val="00FE7AEF"/>
    <w:rsid w:val="00FF02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1A2"/>
    <w:rPr>
      <w:rFonts w:ascii="Times New Roman" w:eastAsia="Times New Roman" w:hAnsi="Times New Roman"/>
      <w:sz w:val="24"/>
      <w:szCs w:val="24"/>
    </w:rPr>
  </w:style>
  <w:style w:type="paragraph" w:styleId="Heading2">
    <w:name w:val="heading 2"/>
    <w:basedOn w:val="Normal"/>
    <w:next w:val="Normal"/>
    <w:link w:val="Heading2Char"/>
    <w:uiPriority w:val="9"/>
    <w:semiHidden/>
    <w:unhideWhenUsed/>
    <w:qFormat/>
    <w:locked/>
    <w:rsid w:val="007275A7"/>
    <w:pPr>
      <w:keepNext/>
      <w:keepLines/>
      <w:spacing w:before="200" w:line="276" w:lineRule="auto"/>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E0EF3"/>
    <w:rPr>
      <w:rFonts w:ascii="Tahoma" w:eastAsia="Calibri" w:hAnsi="Tahoma" w:cs="Tahoma"/>
      <w:sz w:val="16"/>
      <w:szCs w:val="16"/>
    </w:rPr>
  </w:style>
  <w:style w:type="character" w:customStyle="1" w:styleId="BalloonTextChar">
    <w:name w:val="Balloon Text Char"/>
    <w:basedOn w:val="DefaultParagraphFont"/>
    <w:link w:val="BalloonText"/>
    <w:uiPriority w:val="99"/>
    <w:semiHidden/>
    <w:locked/>
    <w:rsid w:val="003E7196"/>
    <w:rPr>
      <w:rFonts w:ascii="Times New Roman" w:hAnsi="Times New Roman" w:cs="Times New Roman"/>
      <w:sz w:val="2"/>
    </w:rPr>
  </w:style>
  <w:style w:type="paragraph" w:styleId="ListParagraph">
    <w:name w:val="List Paragraph"/>
    <w:basedOn w:val="Normal"/>
    <w:link w:val="ListParagraphChar"/>
    <w:qFormat/>
    <w:rsid w:val="004861A2"/>
    <w:pPr>
      <w:ind w:left="720"/>
      <w:contextualSpacing/>
    </w:pPr>
  </w:style>
  <w:style w:type="paragraph" w:styleId="NormalWeb">
    <w:name w:val="Normal (Web)"/>
    <w:basedOn w:val="Normal"/>
    <w:uiPriority w:val="99"/>
    <w:rsid w:val="004861A2"/>
    <w:pPr>
      <w:spacing w:before="100" w:beforeAutospacing="1" w:after="100" w:afterAutospacing="1"/>
    </w:pPr>
  </w:style>
  <w:style w:type="paragraph" w:styleId="FootnoteText">
    <w:name w:val="footnote text"/>
    <w:basedOn w:val="Normal"/>
    <w:link w:val="FootnoteTextChar"/>
    <w:uiPriority w:val="99"/>
    <w:semiHidden/>
    <w:rsid w:val="004861A2"/>
    <w:rPr>
      <w:sz w:val="20"/>
      <w:szCs w:val="20"/>
    </w:rPr>
  </w:style>
  <w:style w:type="character" w:customStyle="1" w:styleId="FootnoteTextChar">
    <w:name w:val="Footnote Text Char"/>
    <w:basedOn w:val="DefaultParagraphFont"/>
    <w:link w:val="FootnoteText"/>
    <w:uiPriority w:val="99"/>
    <w:semiHidden/>
    <w:locked/>
    <w:rsid w:val="004861A2"/>
    <w:rPr>
      <w:rFonts w:ascii="Times New Roman" w:hAnsi="Times New Roman" w:cs="Times New Roman"/>
      <w:sz w:val="20"/>
      <w:szCs w:val="20"/>
    </w:rPr>
  </w:style>
  <w:style w:type="character" w:styleId="FootnoteReference">
    <w:name w:val="footnote reference"/>
    <w:basedOn w:val="DefaultParagraphFont"/>
    <w:uiPriority w:val="99"/>
    <w:semiHidden/>
    <w:rsid w:val="004861A2"/>
    <w:rPr>
      <w:rFonts w:cs="Times New Roman"/>
      <w:vertAlign w:val="superscript"/>
    </w:rPr>
  </w:style>
  <w:style w:type="character" w:customStyle="1" w:styleId="hps">
    <w:name w:val="hps"/>
    <w:basedOn w:val="DefaultParagraphFont"/>
    <w:uiPriority w:val="99"/>
    <w:rsid w:val="004861A2"/>
    <w:rPr>
      <w:rFonts w:cs="Times New Roman"/>
    </w:rPr>
  </w:style>
  <w:style w:type="character" w:customStyle="1" w:styleId="Heading2Char">
    <w:name w:val="Heading 2 Char"/>
    <w:basedOn w:val="DefaultParagraphFont"/>
    <w:link w:val="Heading2"/>
    <w:uiPriority w:val="9"/>
    <w:semiHidden/>
    <w:rsid w:val="007275A7"/>
    <w:rPr>
      <w:rFonts w:asciiTheme="majorHAnsi" w:eastAsiaTheme="majorEastAsia" w:hAnsiTheme="majorHAnsi" w:cstheme="majorBidi"/>
      <w:b/>
      <w:bCs/>
      <w:color w:val="4F81BD" w:themeColor="accent1"/>
      <w:sz w:val="26"/>
      <w:szCs w:val="26"/>
      <w:lang w:val="en-GB"/>
    </w:rPr>
  </w:style>
  <w:style w:type="table" w:styleId="TableGrid">
    <w:name w:val="Table Grid"/>
    <w:basedOn w:val="TableNormal"/>
    <w:uiPriority w:val="59"/>
    <w:locked/>
    <w:rsid w:val="007275A7"/>
    <w:pPr>
      <w:ind w:left="720"/>
      <w:jc w:val="both"/>
    </w:pPr>
    <w:rPr>
      <w:rFonts w:asciiTheme="minorHAnsi" w:eastAsiaTheme="minorHAnsi" w:hAnsiTheme="minorHAnsi" w:cstheme="minorBidi"/>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7275A7"/>
    <w:rPr>
      <w:sz w:val="20"/>
      <w:szCs w:val="20"/>
    </w:rPr>
  </w:style>
  <w:style w:type="character" w:customStyle="1" w:styleId="CommentTextChar">
    <w:name w:val="Comment Text Char"/>
    <w:basedOn w:val="DefaultParagraphFont"/>
    <w:link w:val="CommentText"/>
    <w:uiPriority w:val="99"/>
    <w:rsid w:val="007275A7"/>
    <w:rPr>
      <w:rFonts w:ascii="Times New Roman" w:eastAsia="Times New Roman" w:hAnsi="Times New Roman"/>
      <w:sz w:val="20"/>
      <w:szCs w:val="20"/>
    </w:rPr>
  </w:style>
  <w:style w:type="character" w:styleId="Hyperlink">
    <w:name w:val="Hyperlink"/>
    <w:basedOn w:val="DefaultParagraphFont"/>
    <w:uiPriority w:val="99"/>
    <w:unhideWhenUsed/>
    <w:rsid w:val="007275A7"/>
    <w:rPr>
      <w:color w:val="0000FF" w:themeColor="hyperlink"/>
      <w:u w:val="single"/>
    </w:rPr>
  </w:style>
  <w:style w:type="character" w:customStyle="1" w:styleId="ListParagraphChar">
    <w:name w:val="List Paragraph Char"/>
    <w:link w:val="ListParagraph"/>
    <w:rsid w:val="007275A7"/>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v.gd/departments/supreme_court_regist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31</Pages>
  <Words>8320</Words>
  <Characters>45241</Characters>
  <Application>Microsoft Office Word</Application>
  <DocSecurity>0</DocSecurity>
  <Lines>377</Lines>
  <Paragraphs>106</Paragraphs>
  <ScaleCrop>false</ScaleCrop>
  <Company/>
  <LinksUpToDate>false</LinksUpToDate>
  <CharactersWithSpaces>53455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Roach</dc:creator>
  <cp:keywords/>
  <dc:description/>
  <cp:lastModifiedBy>EGarcia</cp:lastModifiedBy>
  <cp:revision>19</cp:revision>
  <dcterms:created xsi:type="dcterms:W3CDTF">2014-08-05T17:17:00Z</dcterms:created>
  <dcterms:modified xsi:type="dcterms:W3CDTF">2014-12-05T17:55:00Z</dcterms:modified>
</cp:coreProperties>
</file>